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E3C8" w14:textId="752E9E16" w:rsidR="009701AB" w:rsidRDefault="00AB4116">
      <w:pPr>
        <w:jc w:val="center"/>
        <w:rPr>
          <w:b/>
          <w:bCs/>
          <w:sz w:val="28"/>
          <w:szCs w:val="28"/>
        </w:rPr>
      </w:pPr>
      <w:r>
        <w:rPr>
          <w:b/>
          <w:bCs/>
          <w:sz w:val="28"/>
          <w:szCs w:val="28"/>
        </w:rPr>
        <w:t>Residential demand</w:t>
      </w:r>
      <w:r w:rsidR="00444375">
        <w:rPr>
          <w:b/>
          <w:bCs/>
          <w:sz w:val="28"/>
          <w:szCs w:val="28"/>
        </w:rPr>
        <w:t xml:space="preserve"> at six-year high</w:t>
      </w:r>
      <w:r w:rsidR="002906FF">
        <w:rPr>
          <w:b/>
          <w:bCs/>
          <w:sz w:val="28"/>
          <w:szCs w:val="28"/>
        </w:rPr>
        <w:t xml:space="preserve">, records sales of 82,612 units </w:t>
      </w:r>
      <w:r w:rsidR="00063685">
        <w:rPr>
          <w:b/>
          <w:bCs/>
          <w:sz w:val="28"/>
          <w:szCs w:val="28"/>
        </w:rPr>
        <w:t xml:space="preserve">in </w:t>
      </w:r>
      <w:r w:rsidR="002906FF">
        <w:rPr>
          <w:b/>
          <w:bCs/>
          <w:sz w:val="28"/>
          <w:szCs w:val="28"/>
        </w:rPr>
        <w:t>Q3 2023: Knight Frank India</w:t>
      </w:r>
    </w:p>
    <w:p w14:paraId="357B3C96" w14:textId="3E509073" w:rsidR="00063685" w:rsidRPr="00540D9C" w:rsidRDefault="00063685">
      <w:pPr>
        <w:jc w:val="center"/>
        <w:rPr>
          <w:b/>
          <w:bCs/>
          <w:sz w:val="24"/>
          <w:szCs w:val="24"/>
        </w:rPr>
      </w:pPr>
      <w:r w:rsidRPr="00540D9C">
        <w:rPr>
          <w:b/>
          <w:bCs/>
          <w:sz w:val="24"/>
          <w:szCs w:val="24"/>
        </w:rPr>
        <w:t>Mid and High – end record rise at the cost of affordable homes</w:t>
      </w:r>
      <w:r w:rsidR="00DB377F">
        <w:rPr>
          <w:b/>
          <w:bCs/>
          <w:sz w:val="24"/>
          <w:szCs w:val="24"/>
        </w:rPr>
        <w:t xml:space="preserve">; </w:t>
      </w:r>
    </w:p>
    <w:p w14:paraId="3E356AAE" w14:textId="502014CC" w:rsidR="00E95B94" w:rsidRDefault="002906FF">
      <w:pPr>
        <w:jc w:val="both"/>
      </w:pPr>
      <w:r>
        <w:rPr>
          <w:b/>
          <w:bCs/>
        </w:rPr>
        <w:t>Mumbai, October 04, 2023</w:t>
      </w:r>
      <w:r>
        <w:t xml:space="preserve">: In its </w:t>
      </w:r>
      <w:r w:rsidR="00E95B94">
        <w:t xml:space="preserve">latest </w:t>
      </w:r>
      <w:r>
        <w:t>report ‘</w:t>
      </w:r>
      <w:r>
        <w:rPr>
          <w:b/>
        </w:rPr>
        <w:t>India Real Estate Q3 2023’,</w:t>
      </w:r>
      <w:r>
        <w:t xml:space="preserve"> premier real estate consultancy, </w:t>
      </w:r>
      <w:r>
        <w:rPr>
          <w:b/>
        </w:rPr>
        <w:t xml:space="preserve">Knight Frank India </w:t>
      </w:r>
      <w:r>
        <w:t xml:space="preserve">cited that the leading eight residential markets in India continued to show </w:t>
      </w:r>
      <w:r w:rsidR="00E95B94">
        <w:t xml:space="preserve">strong growth momentum. </w:t>
      </w:r>
      <w:r>
        <w:t>During Q3 2023</w:t>
      </w:r>
      <w:r w:rsidR="00E95B94">
        <w:t xml:space="preserve"> (July – September 2023)</w:t>
      </w:r>
      <w:r>
        <w:t>, the</w:t>
      </w:r>
      <w:r w:rsidR="00E95B94">
        <w:t>se</w:t>
      </w:r>
      <w:r>
        <w:t xml:space="preserve"> markets saw a surge in demand with</w:t>
      </w:r>
      <w:r>
        <w:rPr>
          <w:b/>
          <w:bCs/>
        </w:rPr>
        <w:t xml:space="preserve"> sales of 82,612 residential units recording </w:t>
      </w:r>
      <w:r w:rsidR="00E95B94">
        <w:rPr>
          <w:b/>
          <w:bCs/>
        </w:rPr>
        <w:t xml:space="preserve">a </w:t>
      </w:r>
      <w:r>
        <w:rPr>
          <w:b/>
          <w:bCs/>
        </w:rPr>
        <w:t xml:space="preserve">growth of 12% YoY. </w:t>
      </w:r>
      <w:r w:rsidR="00E95B94">
        <w:rPr>
          <w:b/>
          <w:bCs/>
        </w:rPr>
        <w:t xml:space="preserve">In volume terms </w:t>
      </w:r>
      <w:r w:rsidR="00E95B94">
        <w:t xml:space="preserve">Q3 2023 recorded a </w:t>
      </w:r>
      <w:r>
        <w:t xml:space="preserve">six-year high in quarterly sales volumes. </w:t>
      </w:r>
    </w:p>
    <w:p w14:paraId="5896B569" w14:textId="7E283CE2" w:rsidR="00B857E4" w:rsidRDefault="005F7F07">
      <w:pPr>
        <w:jc w:val="both"/>
      </w:pPr>
      <w:r>
        <w:t>The mid and the high – end category of residential properties see a further rise in sales momentum in Q3 2023. While properties costing over than INR 10 mn saw a YoY rise of 3</w:t>
      </w:r>
      <w:r w:rsidR="005062AF">
        <w:t>9</w:t>
      </w:r>
      <w:r>
        <w:t xml:space="preserve">%, the mid segment at INR 5 – 10 Mn saw a rise of </w:t>
      </w:r>
      <w:r w:rsidR="005062AF">
        <w:t>14</w:t>
      </w:r>
      <w:r>
        <w:t xml:space="preserve">% YoY in Q3 2023. A total of </w:t>
      </w:r>
      <w:r w:rsidR="00864E74">
        <w:t xml:space="preserve">28,642 </w:t>
      </w:r>
      <w:r>
        <w:t>units costing over INR 1</w:t>
      </w:r>
      <w:r w:rsidR="00864E74">
        <w:t>0</w:t>
      </w:r>
      <w:r>
        <w:t xml:space="preserve"> mn were sold in this quarter followed by homes costing INR 5 – 10 mn that was recorded at </w:t>
      </w:r>
      <w:r w:rsidR="00864E74">
        <w:t xml:space="preserve">29,827 </w:t>
      </w:r>
      <w:r>
        <w:t xml:space="preserve">units. The affordable segment, or homes less than INR 5 mn saw a YoY decline of </w:t>
      </w:r>
      <w:r w:rsidR="005062AF">
        <w:t>10</w:t>
      </w:r>
      <w:r>
        <w:t xml:space="preserve">% to be recorded at </w:t>
      </w:r>
      <w:r w:rsidR="00864E74">
        <w:t xml:space="preserve">24,143 </w:t>
      </w:r>
      <w:r>
        <w:t xml:space="preserve">units. </w:t>
      </w:r>
    </w:p>
    <w:p w14:paraId="0DA293B1" w14:textId="68B49F96" w:rsidR="009701AB" w:rsidRDefault="002906FF">
      <w:pPr>
        <w:jc w:val="both"/>
        <w:rPr>
          <w:highlight w:val="yellow"/>
          <w:lang w:val="en-US"/>
        </w:rPr>
      </w:pPr>
      <w:r>
        <w:t xml:space="preserve">Developers responded to </w:t>
      </w:r>
      <w:r w:rsidR="00E95B94">
        <w:t xml:space="preserve">this </w:t>
      </w:r>
      <w:r w:rsidR="00444375">
        <w:t xml:space="preserve">strong </w:t>
      </w:r>
      <w:r>
        <w:t xml:space="preserve">demand by </w:t>
      </w:r>
      <w:r w:rsidR="00444375">
        <w:t xml:space="preserve">increasingly </w:t>
      </w:r>
      <w:r>
        <w:t>launching new projects</w:t>
      </w:r>
      <w:r w:rsidR="00444375">
        <w:t xml:space="preserve">. </w:t>
      </w:r>
      <w:r w:rsidR="00E95B94">
        <w:t xml:space="preserve">A total of </w:t>
      </w:r>
      <w:r w:rsidR="00444375">
        <w:t xml:space="preserve">85,549 </w:t>
      </w:r>
      <w:r w:rsidR="00E95B94">
        <w:t xml:space="preserve">new residential </w:t>
      </w:r>
      <w:r w:rsidR="00444375">
        <w:t>units were launched in Q3 2023</w:t>
      </w:r>
      <w:r w:rsidR="00E95B94">
        <w:t xml:space="preserve"> registering</w:t>
      </w:r>
      <w:r w:rsidR="00444375">
        <w:t xml:space="preserve"> a </w:t>
      </w:r>
      <w:r w:rsidR="00E95B94">
        <w:t xml:space="preserve">growth of </w:t>
      </w:r>
      <w:r w:rsidR="00444375">
        <w:t>23% YoY.</w:t>
      </w:r>
      <w:r>
        <w:t xml:space="preserve"> Price levels in </w:t>
      </w:r>
      <w:r w:rsidR="00444375">
        <w:t xml:space="preserve">all </w:t>
      </w:r>
      <w:r>
        <w:t>markets across India grew in tandem with demand</w:t>
      </w:r>
      <w:r w:rsidR="00E95B94">
        <w:t xml:space="preserve"> with</w:t>
      </w:r>
      <w:r>
        <w:t xml:space="preserve"> Hyderabad </w:t>
      </w:r>
      <w:r w:rsidR="00E95B94">
        <w:t xml:space="preserve">seeing </w:t>
      </w:r>
      <w:r>
        <w:t>the most significant rise</w:t>
      </w:r>
      <w:r w:rsidR="00444375">
        <w:t xml:space="preserve"> at</w:t>
      </w:r>
      <w:r>
        <w:t xml:space="preserve"> 11% YoY, </w:t>
      </w:r>
      <w:r w:rsidR="00444375">
        <w:t>due to an increased</w:t>
      </w:r>
      <w:r>
        <w:t xml:space="preserve"> focus on premium properties. </w:t>
      </w:r>
    </w:p>
    <w:p w14:paraId="31089730" w14:textId="23CCA40B" w:rsidR="009701AB" w:rsidRDefault="00E95B94">
      <w:pPr>
        <w:jc w:val="both"/>
      </w:pPr>
      <w:r>
        <w:t>S</w:t>
      </w:r>
      <w:r w:rsidR="002906FF">
        <w:t xml:space="preserve">ales were prominently skewed towards mid and premium price segments. The current </w:t>
      </w:r>
      <w:r>
        <w:t>Quarters to Sale (</w:t>
      </w:r>
      <w:r w:rsidR="002906FF">
        <w:t>QTS</w:t>
      </w:r>
      <w:r>
        <w:t>)</w:t>
      </w:r>
      <w:r w:rsidR="002906FF">
        <w:t xml:space="preserve"> level of 6.5 quarters, significantly better than the 7.1 level a year ago, signified an improving demand dynamic in the residential real estate market of the country. </w:t>
      </w:r>
    </w:p>
    <w:tbl>
      <w:tblPr>
        <w:tblStyle w:val="TableGrid3"/>
        <w:tblW w:w="0" w:type="auto"/>
        <w:jc w:val="center"/>
        <w:tblLook w:val="04A0" w:firstRow="1" w:lastRow="0" w:firstColumn="1" w:lastColumn="0" w:noHBand="0" w:noVBand="1"/>
      </w:tblPr>
      <w:tblGrid>
        <w:gridCol w:w="1474"/>
        <w:gridCol w:w="1349"/>
        <w:gridCol w:w="1094"/>
        <w:gridCol w:w="1089"/>
        <w:gridCol w:w="1159"/>
        <w:gridCol w:w="1253"/>
        <w:gridCol w:w="1060"/>
      </w:tblGrid>
      <w:tr w:rsidR="009701AB" w14:paraId="2F460A05" w14:textId="77777777">
        <w:trPr>
          <w:jc w:val="center"/>
        </w:trPr>
        <w:tc>
          <w:tcPr>
            <w:tcW w:w="1474" w:type="dxa"/>
            <w:shd w:val="clear" w:color="auto" w:fill="C00000"/>
          </w:tcPr>
          <w:p w14:paraId="319CE005" w14:textId="77777777" w:rsidR="009701AB" w:rsidRPr="00255B8B" w:rsidRDefault="009701AB">
            <w:pPr>
              <w:spacing w:after="0" w:line="240" w:lineRule="auto"/>
              <w:contextualSpacing/>
              <w:jc w:val="center"/>
              <w:rPr>
                <w:rFonts w:ascii="Calibri" w:eastAsia="Calibri" w:hAnsi="Calibri" w:cs="Calibri"/>
                <w:color w:val="FFFFFF"/>
                <w:sz w:val="20"/>
                <w:szCs w:val="20"/>
                <w:lang w:val="en-GB"/>
              </w:rPr>
            </w:pPr>
          </w:p>
        </w:tc>
        <w:tc>
          <w:tcPr>
            <w:tcW w:w="3532" w:type="dxa"/>
            <w:gridSpan w:val="3"/>
            <w:shd w:val="clear" w:color="auto" w:fill="C00000"/>
          </w:tcPr>
          <w:p w14:paraId="6A4AFE43" w14:textId="77777777" w:rsidR="009701AB" w:rsidRPr="00255B8B" w:rsidRDefault="002906FF">
            <w:pPr>
              <w:spacing w:after="0" w:line="240" w:lineRule="auto"/>
              <w:contextualSpacing/>
              <w:jc w:val="center"/>
              <w:rPr>
                <w:rFonts w:ascii="Calibri" w:eastAsia="Calibri" w:hAnsi="Calibri" w:cs="Calibri"/>
                <w:b/>
                <w:color w:val="FFFFFF"/>
                <w:sz w:val="20"/>
                <w:szCs w:val="20"/>
                <w:lang w:val="en-GB"/>
              </w:rPr>
            </w:pPr>
            <w:r w:rsidRPr="00255B8B">
              <w:rPr>
                <w:rFonts w:ascii="Calibri" w:eastAsia="Calibri" w:hAnsi="Calibri" w:cs="Calibri"/>
                <w:b/>
                <w:color w:val="FFFFFF"/>
                <w:sz w:val="20"/>
                <w:szCs w:val="20"/>
                <w:lang w:val="en-GB"/>
              </w:rPr>
              <w:t>Sales</w:t>
            </w:r>
          </w:p>
        </w:tc>
        <w:tc>
          <w:tcPr>
            <w:tcW w:w="3472" w:type="dxa"/>
            <w:gridSpan w:val="3"/>
            <w:shd w:val="clear" w:color="auto" w:fill="C00000"/>
          </w:tcPr>
          <w:p w14:paraId="5A093BC0" w14:textId="77777777" w:rsidR="009701AB" w:rsidRPr="00255B8B" w:rsidRDefault="002906FF">
            <w:pPr>
              <w:spacing w:after="0" w:line="240" w:lineRule="auto"/>
              <w:contextualSpacing/>
              <w:jc w:val="center"/>
              <w:rPr>
                <w:rFonts w:ascii="Calibri" w:eastAsia="Calibri" w:hAnsi="Calibri" w:cs="Calibri"/>
                <w:b/>
                <w:color w:val="FFFFFF"/>
                <w:sz w:val="20"/>
                <w:szCs w:val="20"/>
                <w:lang w:val="en-GB"/>
              </w:rPr>
            </w:pPr>
            <w:r w:rsidRPr="00255B8B">
              <w:rPr>
                <w:rFonts w:ascii="Calibri" w:eastAsia="Calibri" w:hAnsi="Calibri" w:cs="Calibri"/>
                <w:b/>
                <w:color w:val="FFFFFF"/>
                <w:sz w:val="20"/>
                <w:szCs w:val="20"/>
                <w:lang w:val="en-GB"/>
              </w:rPr>
              <w:t>Launches</w:t>
            </w:r>
          </w:p>
        </w:tc>
      </w:tr>
      <w:tr w:rsidR="009701AB" w14:paraId="52C597B9" w14:textId="77777777">
        <w:trPr>
          <w:jc w:val="center"/>
        </w:trPr>
        <w:tc>
          <w:tcPr>
            <w:tcW w:w="1474" w:type="dxa"/>
            <w:shd w:val="clear" w:color="auto" w:fill="C00000"/>
          </w:tcPr>
          <w:p w14:paraId="2CFB306B" w14:textId="77777777" w:rsidR="009701AB" w:rsidRPr="00255B8B" w:rsidRDefault="002906FF">
            <w:pPr>
              <w:spacing w:after="0" w:line="240" w:lineRule="auto"/>
              <w:jc w:val="center"/>
              <w:rPr>
                <w:rFonts w:ascii="Calibri" w:eastAsia="Times New Roman" w:hAnsi="Calibri" w:cs="Calibri"/>
                <w:b/>
                <w:bCs/>
                <w:color w:val="FFFFFF"/>
                <w:sz w:val="20"/>
                <w:szCs w:val="20"/>
                <w:lang w:eastAsia="en-IN"/>
              </w:rPr>
            </w:pPr>
            <w:r w:rsidRPr="00255B8B">
              <w:rPr>
                <w:rFonts w:ascii="Calibri" w:eastAsia="Times New Roman" w:hAnsi="Calibri" w:cs="Calibri"/>
                <w:b/>
                <w:bCs/>
                <w:color w:val="FFFFFF"/>
                <w:sz w:val="20"/>
                <w:szCs w:val="20"/>
                <w:lang w:eastAsia="en-IN"/>
              </w:rPr>
              <w:t>City</w:t>
            </w:r>
          </w:p>
        </w:tc>
        <w:tc>
          <w:tcPr>
            <w:tcW w:w="1349" w:type="dxa"/>
            <w:shd w:val="clear" w:color="auto" w:fill="C00000"/>
          </w:tcPr>
          <w:p w14:paraId="3B7D411A" w14:textId="77777777" w:rsidR="009701AB" w:rsidRPr="00255B8B" w:rsidRDefault="002906FF">
            <w:pPr>
              <w:spacing w:after="0" w:line="240" w:lineRule="auto"/>
              <w:jc w:val="center"/>
              <w:rPr>
                <w:rFonts w:ascii="Calibri" w:eastAsia="Times New Roman" w:hAnsi="Calibri" w:cs="Calibri"/>
                <w:b/>
                <w:color w:val="FFFFFF"/>
                <w:sz w:val="20"/>
                <w:szCs w:val="20"/>
                <w:lang w:eastAsia="en-IN"/>
              </w:rPr>
            </w:pPr>
            <w:r w:rsidRPr="00255B8B">
              <w:rPr>
                <w:rFonts w:ascii="Calibri" w:eastAsia="Times New Roman" w:hAnsi="Calibri" w:cs="Calibri"/>
                <w:b/>
                <w:color w:val="FFFFFF"/>
                <w:sz w:val="20"/>
                <w:szCs w:val="20"/>
                <w:lang w:eastAsia="en-IN"/>
              </w:rPr>
              <w:t>Q3 2022</w:t>
            </w:r>
          </w:p>
        </w:tc>
        <w:tc>
          <w:tcPr>
            <w:tcW w:w="1094" w:type="dxa"/>
            <w:shd w:val="clear" w:color="auto" w:fill="C00000"/>
          </w:tcPr>
          <w:p w14:paraId="4F37602E" w14:textId="77777777" w:rsidR="009701AB" w:rsidRPr="00255B8B" w:rsidRDefault="002906FF">
            <w:pPr>
              <w:spacing w:after="0" w:line="240" w:lineRule="auto"/>
              <w:jc w:val="center"/>
              <w:rPr>
                <w:rFonts w:ascii="Calibri" w:eastAsia="Times New Roman" w:hAnsi="Calibri" w:cs="Calibri"/>
                <w:b/>
                <w:color w:val="FFFFFF"/>
                <w:sz w:val="20"/>
                <w:szCs w:val="20"/>
                <w:lang w:eastAsia="en-IN"/>
              </w:rPr>
            </w:pPr>
            <w:r w:rsidRPr="00255B8B">
              <w:rPr>
                <w:rFonts w:ascii="Calibri" w:eastAsia="Times New Roman" w:hAnsi="Calibri" w:cs="Calibri"/>
                <w:b/>
                <w:color w:val="FFFFFF"/>
                <w:sz w:val="20"/>
                <w:szCs w:val="20"/>
                <w:lang w:eastAsia="en-IN"/>
              </w:rPr>
              <w:t>Q3 2023</w:t>
            </w:r>
          </w:p>
        </w:tc>
        <w:tc>
          <w:tcPr>
            <w:tcW w:w="1089" w:type="dxa"/>
            <w:shd w:val="clear" w:color="auto" w:fill="C00000"/>
          </w:tcPr>
          <w:p w14:paraId="1A71A778" w14:textId="77777777" w:rsidR="009701AB" w:rsidRPr="00255B8B" w:rsidRDefault="002906FF">
            <w:pPr>
              <w:spacing w:after="0" w:line="240" w:lineRule="auto"/>
              <w:jc w:val="center"/>
              <w:rPr>
                <w:rFonts w:ascii="Calibri" w:eastAsia="Times New Roman" w:hAnsi="Calibri" w:cs="Calibri"/>
                <w:b/>
                <w:color w:val="FFFFFF"/>
                <w:sz w:val="20"/>
                <w:szCs w:val="20"/>
                <w:lang w:eastAsia="en-IN"/>
              </w:rPr>
            </w:pPr>
            <w:r w:rsidRPr="00255B8B">
              <w:rPr>
                <w:rFonts w:ascii="Calibri" w:eastAsia="Times New Roman" w:hAnsi="Calibri" w:cs="Calibri"/>
                <w:b/>
                <w:color w:val="FFFFFF"/>
                <w:sz w:val="20"/>
                <w:szCs w:val="20"/>
                <w:lang w:eastAsia="en-IN"/>
              </w:rPr>
              <w:t>% Change (YoY)</w:t>
            </w:r>
          </w:p>
        </w:tc>
        <w:tc>
          <w:tcPr>
            <w:tcW w:w="1159" w:type="dxa"/>
            <w:shd w:val="clear" w:color="auto" w:fill="C00000"/>
          </w:tcPr>
          <w:p w14:paraId="15326982" w14:textId="77777777" w:rsidR="009701AB" w:rsidRPr="00255B8B" w:rsidRDefault="002906FF">
            <w:pPr>
              <w:spacing w:after="0" w:line="240" w:lineRule="auto"/>
              <w:jc w:val="center"/>
              <w:rPr>
                <w:rFonts w:ascii="Calibri" w:eastAsia="Times New Roman" w:hAnsi="Calibri" w:cs="Calibri"/>
                <w:b/>
                <w:color w:val="FFFFFF"/>
                <w:sz w:val="20"/>
                <w:szCs w:val="20"/>
                <w:lang w:eastAsia="en-IN"/>
              </w:rPr>
            </w:pPr>
            <w:r w:rsidRPr="00255B8B">
              <w:rPr>
                <w:rFonts w:ascii="Calibri" w:eastAsia="Times New Roman" w:hAnsi="Calibri" w:cs="Calibri"/>
                <w:b/>
                <w:color w:val="FFFFFF"/>
                <w:sz w:val="20"/>
                <w:szCs w:val="20"/>
                <w:lang w:eastAsia="en-IN"/>
              </w:rPr>
              <w:t>Q3 2022</w:t>
            </w:r>
          </w:p>
        </w:tc>
        <w:tc>
          <w:tcPr>
            <w:tcW w:w="1253" w:type="dxa"/>
            <w:shd w:val="clear" w:color="auto" w:fill="C00000"/>
          </w:tcPr>
          <w:p w14:paraId="4A065B92" w14:textId="77777777" w:rsidR="009701AB" w:rsidRPr="00255B8B" w:rsidRDefault="002906FF">
            <w:pPr>
              <w:spacing w:after="0" w:line="240" w:lineRule="auto"/>
              <w:jc w:val="center"/>
              <w:rPr>
                <w:rFonts w:ascii="Calibri" w:eastAsia="Times New Roman" w:hAnsi="Calibri" w:cs="Calibri"/>
                <w:b/>
                <w:color w:val="FFFFFF"/>
                <w:sz w:val="20"/>
                <w:szCs w:val="20"/>
                <w:lang w:eastAsia="en-IN"/>
              </w:rPr>
            </w:pPr>
            <w:r w:rsidRPr="00255B8B">
              <w:rPr>
                <w:rFonts w:ascii="Calibri" w:eastAsia="Times New Roman" w:hAnsi="Calibri" w:cs="Calibri"/>
                <w:b/>
                <w:color w:val="FFFFFF"/>
                <w:sz w:val="20"/>
                <w:szCs w:val="20"/>
                <w:lang w:eastAsia="en-IN"/>
              </w:rPr>
              <w:t>Q3 2023</w:t>
            </w:r>
          </w:p>
        </w:tc>
        <w:tc>
          <w:tcPr>
            <w:tcW w:w="1060" w:type="dxa"/>
            <w:shd w:val="clear" w:color="auto" w:fill="C00000"/>
          </w:tcPr>
          <w:p w14:paraId="70F3C47B" w14:textId="77777777" w:rsidR="009701AB" w:rsidRPr="00255B8B" w:rsidRDefault="002906FF">
            <w:pPr>
              <w:spacing w:after="0" w:line="240" w:lineRule="auto"/>
              <w:jc w:val="center"/>
              <w:rPr>
                <w:rFonts w:ascii="Calibri" w:eastAsia="Times New Roman" w:hAnsi="Calibri" w:cs="Calibri"/>
                <w:b/>
                <w:color w:val="FFFFFF"/>
                <w:sz w:val="20"/>
                <w:szCs w:val="20"/>
                <w:lang w:eastAsia="en-IN"/>
              </w:rPr>
            </w:pPr>
            <w:r w:rsidRPr="00255B8B">
              <w:rPr>
                <w:rFonts w:ascii="Calibri" w:eastAsia="Times New Roman" w:hAnsi="Calibri" w:cs="Calibri"/>
                <w:b/>
                <w:color w:val="FFFFFF"/>
                <w:sz w:val="20"/>
                <w:szCs w:val="20"/>
                <w:lang w:eastAsia="en-IN"/>
              </w:rPr>
              <w:t>% Change (YoY)</w:t>
            </w:r>
          </w:p>
        </w:tc>
      </w:tr>
      <w:tr w:rsidR="007B024F" w14:paraId="7990BCA1" w14:textId="77777777">
        <w:trPr>
          <w:jc w:val="center"/>
        </w:trPr>
        <w:tc>
          <w:tcPr>
            <w:tcW w:w="1474" w:type="dxa"/>
            <w:shd w:val="clear" w:color="auto" w:fill="auto"/>
            <w:vAlign w:val="bottom"/>
          </w:tcPr>
          <w:p w14:paraId="015A638F" w14:textId="67B628E6" w:rsidR="007B024F" w:rsidRPr="00255B8B" w:rsidRDefault="007B024F" w:rsidP="007B024F">
            <w:pPr>
              <w:spacing w:after="0" w:line="240" w:lineRule="auto"/>
              <w:jc w:val="center"/>
              <w:rPr>
                <w:rFonts w:ascii="Calibri" w:eastAsia="Times New Roman" w:hAnsi="Calibri" w:cs="Calibri"/>
                <w:bCs/>
                <w:color w:val="000000"/>
                <w:sz w:val="20"/>
                <w:szCs w:val="20"/>
                <w:lang w:val="en-US" w:eastAsia="en-GB"/>
              </w:rPr>
            </w:pPr>
            <w:r w:rsidRPr="00255B8B">
              <w:rPr>
                <w:rFonts w:ascii="Calibri" w:hAnsi="Calibri" w:cs="Calibri"/>
                <w:color w:val="000000"/>
                <w:sz w:val="20"/>
                <w:szCs w:val="20"/>
              </w:rPr>
              <w:t>Mumbai</w:t>
            </w:r>
          </w:p>
        </w:tc>
        <w:tc>
          <w:tcPr>
            <w:tcW w:w="1349" w:type="dxa"/>
            <w:shd w:val="clear" w:color="auto" w:fill="auto"/>
            <w:vAlign w:val="bottom"/>
          </w:tcPr>
          <w:p w14:paraId="03AA2624" w14:textId="524BF86A"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21,450</w:t>
            </w:r>
          </w:p>
        </w:tc>
        <w:tc>
          <w:tcPr>
            <w:tcW w:w="1094" w:type="dxa"/>
            <w:shd w:val="clear" w:color="auto" w:fill="auto"/>
            <w:vAlign w:val="bottom"/>
          </w:tcPr>
          <w:p w14:paraId="3185E79B" w14:textId="4785D3D2"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22,308</w:t>
            </w:r>
          </w:p>
        </w:tc>
        <w:tc>
          <w:tcPr>
            <w:tcW w:w="1089" w:type="dxa"/>
            <w:shd w:val="clear" w:color="auto" w:fill="auto"/>
            <w:vAlign w:val="bottom"/>
          </w:tcPr>
          <w:p w14:paraId="7912F0F1" w14:textId="741C0CE8"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4%</w:t>
            </w:r>
          </w:p>
        </w:tc>
        <w:tc>
          <w:tcPr>
            <w:tcW w:w="1159" w:type="dxa"/>
            <w:shd w:val="clear" w:color="auto" w:fill="auto"/>
            <w:vAlign w:val="bottom"/>
          </w:tcPr>
          <w:p w14:paraId="66B240FA" w14:textId="73281684"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18,079</w:t>
            </w:r>
          </w:p>
        </w:tc>
        <w:tc>
          <w:tcPr>
            <w:tcW w:w="1253" w:type="dxa"/>
            <w:shd w:val="clear" w:color="auto" w:fill="auto"/>
            <w:vAlign w:val="bottom"/>
          </w:tcPr>
          <w:p w14:paraId="5F739CF2" w14:textId="63F4B811" w:rsidR="007B024F" w:rsidRPr="00255B8B" w:rsidRDefault="007B024F" w:rsidP="007B024F">
            <w:pPr>
              <w:spacing w:after="0" w:line="240" w:lineRule="auto"/>
              <w:jc w:val="center"/>
              <w:rPr>
                <w:rFonts w:ascii="Calibri" w:eastAsia="Times New Roman" w:hAnsi="Calibri" w:cs="Calibri"/>
                <w:color w:val="000000"/>
                <w:sz w:val="20"/>
                <w:szCs w:val="20"/>
                <w:lang w:val="en-US" w:eastAsia="en-GB"/>
              </w:rPr>
            </w:pPr>
            <w:r w:rsidRPr="00255B8B">
              <w:rPr>
                <w:rFonts w:ascii="Calibri" w:hAnsi="Calibri" w:cs="Calibri"/>
                <w:color w:val="000000"/>
                <w:sz w:val="20"/>
                <w:szCs w:val="20"/>
              </w:rPr>
              <w:t>19,512</w:t>
            </w:r>
          </w:p>
        </w:tc>
        <w:tc>
          <w:tcPr>
            <w:tcW w:w="1060" w:type="dxa"/>
            <w:shd w:val="clear" w:color="auto" w:fill="auto"/>
            <w:vAlign w:val="bottom"/>
          </w:tcPr>
          <w:p w14:paraId="7158DFDB" w14:textId="3E465697"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8%</w:t>
            </w:r>
          </w:p>
        </w:tc>
      </w:tr>
      <w:tr w:rsidR="007B024F" w14:paraId="4F2DF589" w14:textId="77777777">
        <w:trPr>
          <w:jc w:val="center"/>
        </w:trPr>
        <w:tc>
          <w:tcPr>
            <w:tcW w:w="1474" w:type="dxa"/>
            <w:shd w:val="clear" w:color="auto" w:fill="auto"/>
            <w:vAlign w:val="bottom"/>
          </w:tcPr>
          <w:p w14:paraId="40A1783B" w14:textId="2B74C6B5" w:rsidR="007B024F" w:rsidRPr="00255B8B" w:rsidRDefault="007B024F" w:rsidP="007B024F">
            <w:pPr>
              <w:spacing w:after="0" w:line="240" w:lineRule="auto"/>
              <w:jc w:val="center"/>
              <w:rPr>
                <w:rFonts w:ascii="Calibri" w:eastAsia="Times New Roman" w:hAnsi="Calibri" w:cs="Calibri"/>
                <w:bCs/>
                <w:color w:val="000000"/>
                <w:sz w:val="20"/>
                <w:szCs w:val="20"/>
                <w:lang w:val="en-US" w:eastAsia="en-GB"/>
              </w:rPr>
            </w:pPr>
            <w:r w:rsidRPr="00255B8B">
              <w:rPr>
                <w:rFonts w:ascii="Calibri" w:hAnsi="Calibri" w:cs="Calibri"/>
                <w:color w:val="000000"/>
                <w:sz w:val="20"/>
                <w:szCs w:val="20"/>
              </w:rPr>
              <w:t>NCR</w:t>
            </w:r>
          </w:p>
        </w:tc>
        <w:tc>
          <w:tcPr>
            <w:tcW w:w="1349" w:type="dxa"/>
            <w:shd w:val="clear" w:color="auto" w:fill="auto"/>
            <w:vAlign w:val="bottom"/>
          </w:tcPr>
          <w:p w14:paraId="0D8E4023" w14:textId="39F7DE27"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11,014</w:t>
            </w:r>
          </w:p>
        </w:tc>
        <w:tc>
          <w:tcPr>
            <w:tcW w:w="1094" w:type="dxa"/>
            <w:shd w:val="clear" w:color="auto" w:fill="auto"/>
            <w:vAlign w:val="bottom"/>
          </w:tcPr>
          <w:p w14:paraId="253F23E2" w14:textId="7512542F"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13,981</w:t>
            </w:r>
          </w:p>
        </w:tc>
        <w:tc>
          <w:tcPr>
            <w:tcW w:w="1089" w:type="dxa"/>
            <w:shd w:val="clear" w:color="auto" w:fill="auto"/>
            <w:vAlign w:val="bottom"/>
          </w:tcPr>
          <w:p w14:paraId="02504C2E" w14:textId="5B347CFE"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27%</w:t>
            </w:r>
          </w:p>
        </w:tc>
        <w:tc>
          <w:tcPr>
            <w:tcW w:w="1159" w:type="dxa"/>
            <w:shd w:val="clear" w:color="auto" w:fill="auto"/>
            <w:vAlign w:val="bottom"/>
          </w:tcPr>
          <w:p w14:paraId="5D87213A" w14:textId="07AC0819"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10,265</w:t>
            </w:r>
          </w:p>
        </w:tc>
        <w:tc>
          <w:tcPr>
            <w:tcW w:w="1253" w:type="dxa"/>
            <w:shd w:val="clear" w:color="auto" w:fill="auto"/>
            <w:vAlign w:val="bottom"/>
          </w:tcPr>
          <w:p w14:paraId="2412A7D5" w14:textId="6DBF692B" w:rsidR="007B024F" w:rsidRPr="00255B8B" w:rsidRDefault="007B024F" w:rsidP="007B024F">
            <w:pPr>
              <w:spacing w:after="0" w:line="240" w:lineRule="auto"/>
              <w:jc w:val="center"/>
              <w:rPr>
                <w:rFonts w:ascii="Calibri" w:eastAsia="Times New Roman" w:hAnsi="Calibri" w:cs="Calibri"/>
                <w:color w:val="000000"/>
                <w:sz w:val="20"/>
                <w:szCs w:val="20"/>
                <w:lang w:val="en-US" w:eastAsia="en-GB"/>
              </w:rPr>
            </w:pPr>
            <w:r w:rsidRPr="00255B8B">
              <w:rPr>
                <w:rFonts w:ascii="Calibri" w:hAnsi="Calibri" w:cs="Calibri"/>
                <w:color w:val="000000"/>
                <w:sz w:val="20"/>
                <w:szCs w:val="20"/>
              </w:rPr>
              <w:t>16,108</w:t>
            </w:r>
          </w:p>
        </w:tc>
        <w:tc>
          <w:tcPr>
            <w:tcW w:w="1060" w:type="dxa"/>
            <w:shd w:val="clear" w:color="auto" w:fill="auto"/>
            <w:vAlign w:val="bottom"/>
          </w:tcPr>
          <w:p w14:paraId="7ABD6739" w14:textId="63327867"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57%</w:t>
            </w:r>
          </w:p>
        </w:tc>
      </w:tr>
      <w:tr w:rsidR="007B024F" w14:paraId="52BEE0D1" w14:textId="77777777">
        <w:trPr>
          <w:jc w:val="center"/>
        </w:trPr>
        <w:tc>
          <w:tcPr>
            <w:tcW w:w="1474" w:type="dxa"/>
            <w:shd w:val="clear" w:color="auto" w:fill="auto"/>
            <w:vAlign w:val="bottom"/>
          </w:tcPr>
          <w:p w14:paraId="31315E1D" w14:textId="2241E2E8" w:rsidR="007B024F" w:rsidRPr="00255B8B" w:rsidRDefault="007B024F" w:rsidP="007B024F">
            <w:pPr>
              <w:spacing w:after="0" w:line="240" w:lineRule="auto"/>
              <w:jc w:val="center"/>
              <w:rPr>
                <w:rFonts w:ascii="Calibri" w:eastAsia="Times New Roman" w:hAnsi="Calibri" w:cs="Calibri"/>
                <w:bCs/>
                <w:color w:val="000000"/>
                <w:sz w:val="20"/>
                <w:szCs w:val="20"/>
                <w:lang w:val="en-US" w:eastAsia="en-GB"/>
              </w:rPr>
            </w:pPr>
            <w:r w:rsidRPr="00255B8B">
              <w:rPr>
                <w:rFonts w:ascii="Calibri" w:hAnsi="Calibri" w:cs="Calibri"/>
                <w:color w:val="000000"/>
                <w:sz w:val="20"/>
                <w:szCs w:val="20"/>
              </w:rPr>
              <w:t>Bengaluru</w:t>
            </w:r>
          </w:p>
        </w:tc>
        <w:tc>
          <w:tcPr>
            <w:tcW w:w="1349" w:type="dxa"/>
            <w:shd w:val="clear" w:color="auto" w:fill="auto"/>
            <w:vAlign w:val="bottom"/>
          </w:tcPr>
          <w:p w14:paraId="4DF4541A" w14:textId="54AAAFCD"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13,013</w:t>
            </w:r>
          </w:p>
        </w:tc>
        <w:tc>
          <w:tcPr>
            <w:tcW w:w="1094" w:type="dxa"/>
            <w:shd w:val="clear" w:color="auto" w:fill="auto"/>
            <w:vAlign w:val="bottom"/>
          </w:tcPr>
          <w:p w14:paraId="314B53EB" w14:textId="33273D4A"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13,169</w:t>
            </w:r>
          </w:p>
        </w:tc>
        <w:tc>
          <w:tcPr>
            <w:tcW w:w="1089" w:type="dxa"/>
            <w:shd w:val="clear" w:color="auto" w:fill="auto"/>
            <w:vAlign w:val="bottom"/>
          </w:tcPr>
          <w:p w14:paraId="31DF3C7B" w14:textId="0367165B"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1%</w:t>
            </w:r>
          </w:p>
        </w:tc>
        <w:tc>
          <w:tcPr>
            <w:tcW w:w="1159" w:type="dxa"/>
            <w:shd w:val="clear" w:color="auto" w:fill="auto"/>
            <w:vAlign w:val="bottom"/>
          </w:tcPr>
          <w:p w14:paraId="5C2019EB" w14:textId="24D145B3"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11,250</w:t>
            </w:r>
          </w:p>
        </w:tc>
        <w:tc>
          <w:tcPr>
            <w:tcW w:w="1253" w:type="dxa"/>
            <w:shd w:val="clear" w:color="auto" w:fill="auto"/>
            <w:vAlign w:val="bottom"/>
          </w:tcPr>
          <w:p w14:paraId="568F210A" w14:textId="0B6BB70D" w:rsidR="007B024F" w:rsidRPr="00255B8B" w:rsidRDefault="007B024F" w:rsidP="007B024F">
            <w:pPr>
              <w:spacing w:after="0" w:line="240" w:lineRule="auto"/>
              <w:jc w:val="center"/>
              <w:rPr>
                <w:rFonts w:ascii="Calibri" w:eastAsia="Times New Roman" w:hAnsi="Calibri" w:cs="Calibri"/>
                <w:color w:val="000000"/>
                <w:sz w:val="20"/>
                <w:szCs w:val="20"/>
                <w:lang w:val="en-US" w:eastAsia="en-GB"/>
              </w:rPr>
            </w:pPr>
            <w:r w:rsidRPr="00255B8B">
              <w:rPr>
                <w:rFonts w:ascii="Calibri" w:hAnsi="Calibri" w:cs="Calibri"/>
                <w:color w:val="000000"/>
                <w:sz w:val="20"/>
                <w:szCs w:val="20"/>
              </w:rPr>
              <w:t>13,353</w:t>
            </w:r>
          </w:p>
        </w:tc>
        <w:tc>
          <w:tcPr>
            <w:tcW w:w="1060" w:type="dxa"/>
            <w:shd w:val="clear" w:color="auto" w:fill="auto"/>
            <w:vAlign w:val="bottom"/>
          </w:tcPr>
          <w:p w14:paraId="4BF36036" w14:textId="3E5A2B17"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19%</w:t>
            </w:r>
          </w:p>
        </w:tc>
      </w:tr>
      <w:tr w:rsidR="007B024F" w14:paraId="08A4D861" w14:textId="77777777">
        <w:trPr>
          <w:jc w:val="center"/>
        </w:trPr>
        <w:tc>
          <w:tcPr>
            <w:tcW w:w="1474" w:type="dxa"/>
            <w:shd w:val="clear" w:color="auto" w:fill="auto"/>
            <w:vAlign w:val="bottom"/>
          </w:tcPr>
          <w:p w14:paraId="7FC38CA9" w14:textId="2433E221" w:rsidR="007B024F" w:rsidRPr="00255B8B" w:rsidRDefault="007B024F" w:rsidP="007B024F">
            <w:pPr>
              <w:spacing w:after="0" w:line="240" w:lineRule="auto"/>
              <w:jc w:val="center"/>
              <w:rPr>
                <w:rFonts w:ascii="Calibri" w:eastAsia="Times New Roman" w:hAnsi="Calibri" w:cs="Calibri"/>
                <w:bCs/>
                <w:color w:val="000000"/>
                <w:sz w:val="20"/>
                <w:szCs w:val="20"/>
                <w:lang w:val="en-US" w:eastAsia="en-GB"/>
              </w:rPr>
            </w:pPr>
            <w:r w:rsidRPr="00255B8B">
              <w:rPr>
                <w:rFonts w:ascii="Calibri" w:hAnsi="Calibri" w:cs="Calibri"/>
                <w:color w:val="000000"/>
                <w:sz w:val="20"/>
                <w:szCs w:val="20"/>
              </w:rPr>
              <w:t>Pune</w:t>
            </w:r>
          </w:p>
        </w:tc>
        <w:tc>
          <w:tcPr>
            <w:tcW w:w="1349" w:type="dxa"/>
            <w:shd w:val="clear" w:color="auto" w:fill="auto"/>
            <w:vAlign w:val="bottom"/>
          </w:tcPr>
          <w:p w14:paraId="0BF82E54" w14:textId="7576DE7B"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10,899</w:t>
            </w:r>
          </w:p>
        </w:tc>
        <w:tc>
          <w:tcPr>
            <w:tcW w:w="1094" w:type="dxa"/>
            <w:shd w:val="clear" w:color="auto" w:fill="auto"/>
            <w:vAlign w:val="bottom"/>
          </w:tcPr>
          <w:p w14:paraId="4B15F49A" w14:textId="6C42145C"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13,079</w:t>
            </w:r>
          </w:p>
        </w:tc>
        <w:tc>
          <w:tcPr>
            <w:tcW w:w="1089" w:type="dxa"/>
            <w:shd w:val="clear" w:color="auto" w:fill="auto"/>
            <w:vAlign w:val="bottom"/>
          </w:tcPr>
          <w:p w14:paraId="2455989B" w14:textId="3E13FB0B"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20%</w:t>
            </w:r>
          </w:p>
        </w:tc>
        <w:tc>
          <w:tcPr>
            <w:tcW w:w="1159" w:type="dxa"/>
            <w:shd w:val="clear" w:color="auto" w:fill="auto"/>
            <w:vAlign w:val="bottom"/>
          </w:tcPr>
          <w:p w14:paraId="02CC31ED" w14:textId="1F92A4F2"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7,463</w:t>
            </w:r>
          </w:p>
        </w:tc>
        <w:tc>
          <w:tcPr>
            <w:tcW w:w="1253" w:type="dxa"/>
            <w:shd w:val="clear" w:color="auto" w:fill="auto"/>
            <w:vAlign w:val="bottom"/>
          </w:tcPr>
          <w:p w14:paraId="6EA40CBD" w14:textId="57CEAA7C" w:rsidR="007B024F" w:rsidRPr="00255B8B" w:rsidRDefault="007B024F" w:rsidP="007B024F">
            <w:pPr>
              <w:spacing w:after="0" w:line="240" w:lineRule="auto"/>
              <w:jc w:val="center"/>
              <w:rPr>
                <w:rFonts w:ascii="Calibri" w:eastAsia="Times New Roman" w:hAnsi="Calibri" w:cs="Calibri"/>
                <w:color w:val="000000"/>
                <w:sz w:val="20"/>
                <w:szCs w:val="20"/>
                <w:lang w:val="en-US" w:eastAsia="en-GB"/>
              </w:rPr>
            </w:pPr>
            <w:r w:rsidRPr="00255B8B">
              <w:rPr>
                <w:rFonts w:ascii="Calibri" w:hAnsi="Calibri" w:cs="Calibri"/>
                <w:color w:val="000000"/>
                <w:sz w:val="20"/>
                <w:szCs w:val="20"/>
              </w:rPr>
              <w:t>10,568</w:t>
            </w:r>
          </w:p>
        </w:tc>
        <w:tc>
          <w:tcPr>
            <w:tcW w:w="1060" w:type="dxa"/>
            <w:shd w:val="clear" w:color="auto" w:fill="auto"/>
            <w:vAlign w:val="bottom"/>
          </w:tcPr>
          <w:p w14:paraId="26899EFB" w14:textId="2E6F3755"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42%</w:t>
            </w:r>
          </w:p>
        </w:tc>
      </w:tr>
      <w:tr w:rsidR="007B024F" w14:paraId="26197DF0" w14:textId="77777777">
        <w:trPr>
          <w:jc w:val="center"/>
        </w:trPr>
        <w:tc>
          <w:tcPr>
            <w:tcW w:w="1474" w:type="dxa"/>
            <w:shd w:val="clear" w:color="auto" w:fill="auto"/>
            <w:vAlign w:val="bottom"/>
          </w:tcPr>
          <w:p w14:paraId="370DC8DF" w14:textId="7BAA7B03" w:rsidR="007B024F" w:rsidRPr="00255B8B" w:rsidRDefault="007B024F" w:rsidP="007B024F">
            <w:pPr>
              <w:spacing w:after="0" w:line="240" w:lineRule="auto"/>
              <w:jc w:val="center"/>
              <w:rPr>
                <w:rFonts w:ascii="Calibri" w:eastAsia="Times New Roman" w:hAnsi="Calibri" w:cs="Calibri"/>
                <w:bCs/>
                <w:color w:val="000000"/>
                <w:sz w:val="20"/>
                <w:szCs w:val="20"/>
                <w:lang w:val="en-US" w:eastAsia="en-GB"/>
              </w:rPr>
            </w:pPr>
            <w:r w:rsidRPr="00255B8B">
              <w:rPr>
                <w:rFonts w:ascii="Calibri" w:hAnsi="Calibri" w:cs="Calibri"/>
                <w:color w:val="000000"/>
                <w:sz w:val="20"/>
                <w:szCs w:val="20"/>
              </w:rPr>
              <w:t>Hyderabad</w:t>
            </w:r>
          </w:p>
        </w:tc>
        <w:tc>
          <w:tcPr>
            <w:tcW w:w="1349" w:type="dxa"/>
            <w:shd w:val="clear" w:color="auto" w:fill="auto"/>
            <w:vAlign w:val="bottom"/>
          </w:tcPr>
          <w:p w14:paraId="26DFDF5E" w14:textId="563E18B3"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7,900</w:t>
            </w:r>
          </w:p>
        </w:tc>
        <w:tc>
          <w:tcPr>
            <w:tcW w:w="1094" w:type="dxa"/>
            <w:shd w:val="clear" w:color="auto" w:fill="auto"/>
            <w:vAlign w:val="bottom"/>
          </w:tcPr>
          <w:p w14:paraId="7588D025" w14:textId="2746798C"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8,325</w:t>
            </w:r>
          </w:p>
        </w:tc>
        <w:tc>
          <w:tcPr>
            <w:tcW w:w="1089" w:type="dxa"/>
            <w:shd w:val="clear" w:color="auto" w:fill="auto"/>
            <w:vAlign w:val="bottom"/>
          </w:tcPr>
          <w:p w14:paraId="1CA601B9" w14:textId="55B1C6A0"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5%</w:t>
            </w:r>
          </w:p>
        </w:tc>
        <w:tc>
          <w:tcPr>
            <w:tcW w:w="1159" w:type="dxa"/>
            <w:shd w:val="clear" w:color="auto" w:fill="auto"/>
            <w:vAlign w:val="bottom"/>
          </w:tcPr>
          <w:p w14:paraId="279CC770" w14:textId="201DCF01"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11,000</w:t>
            </w:r>
          </w:p>
        </w:tc>
        <w:tc>
          <w:tcPr>
            <w:tcW w:w="1253" w:type="dxa"/>
            <w:shd w:val="clear" w:color="auto" w:fill="auto"/>
            <w:vAlign w:val="bottom"/>
          </w:tcPr>
          <w:p w14:paraId="449BD420" w14:textId="329B1BE7" w:rsidR="007B024F" w:rsidRPr="00255B8B" w:rsidRDefault="007B024F" w:rsidP="007B024F">
            <w:pPr>
              <w:spacing w:after="0" w:line="240" w:lineRule="auto"/>
              <w:jc w:val="center"/>
              <w:rPr>
                <w:rFonts w:ascii="Calibri" w:eastAsia="Times New Roman" w:hAnsi="Calibri" w:cs="Calibri"/>
                <w:color w:val="000000"/>
                <w:sz w:val="20"/>
                <w:szCs w:val="20"/>
                <w:lang w:val="en-US" w:eastAsia="en-GB"/>
              </w:rPr>
            </w:pPr>
            <w:r w:rsidRPr="00255B8B">
              <w:rPr>
                <w:rFonts w:ascii="Calibri" w:hAnsi="Calibri" w:cs="Calibri"/>
                <w:color w:val="000000"/>
                <w:sz w:val="20"/>
                <w:szCs w:val="20"/>
              </w:rPr>
              <w:t>11,034</w:t>
            </w:r>
          </w:p>
        </w:tc>
        <w:tc>
          <w:tcPr>
            <w:tcW w:w="1060" w:type="dxa"/>
            <w:shd w:val="clear" w:color="auto" w:fill="auto"/>
            <w:vAlign w:val="bottom"/>
          </w:tcPr>
          <w:p w14:paraId="2925B18F" w14:textId="038A2BC9"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0%</w:t>
            </w:r>
          </w:p>
        </w:tc>
      </w:tr>
      <w:tr w:rsidR="007B024F" w14:paraId="2337FF21" w14:textId="77777777">
        <w:trPr>
          <w:jc w:val="center"/>
        </w:trPr>
        <w:tc>
          <w:tcPr>
            <w:tcW w:w="1474" w:type="dxa"/>
            <w:shd w:val="clear" w:color="auto" w:fill="auto"/>
            <w:vAlign w:val="bottom"/>
          </w:tcPr>
          <w:p w14:paraId="3B012280" w14:textId="66BE80B4" w:rsidR="007B024F" w:rsidRPr="00255B8B" w:rsidRDefault="007B024F" w:rsidP="007B024F">
            <w:pPr>
              <w:spacing w:after="0" w:line="240" w:lineRule="auto"/>
              <w:jc w:val="center"/>
              <w:rPr>
                <w:rFonts w:ascii="Calibri" w:eastAsia="Times New Roman" w:hAnsi="Calibri" w:cs="Calibri"/>
                <w:bCs/>
                <w:color w:val="000000"/>
                <w:sz w:val="20"/>
                <w:szCs w:val="20"/>
                <w:lang w:val="en-US" w:eastAsia="en-GB"/>
              </w:rPr>
            </w:pPr>
            <w:r w:rsidRPr="00255B8B">
              <w:rPr>
                <w:rFonts w:ascii="Calibri" w:hAnsi="Calibri" w:cs="Calibri"/>
                <w:color w:val="000000"/>
                <w:sz w:val="20"/>
                <w:szCs w:val="20"/>
              </w:rPr>
              <w:t>Ahmedabad</w:t>
            </w:r>
          </w:p>
        </w:tc>
        <w:tc>
          <w:tcPr>
            <w:tcW w:w="1349" w:type="dxa"/>
            <w:shd w:val="clear" w:color="auto" w:fill="auto"/>
            <w:vAlign w:val="bottom"/>
          </w:tcPr>
          <w:p w14:paraId="359558D3" w14:textId="355C6C8E"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3,887</w:t>
            </w:r>
          </w:p>
        </w:tc>
        <w:tc>
          <w:tcPr>
            <w:tcW w:w="1094" w:type="dxa"/>
            <w:shd w:val="clear" w:color="auto" w:fill="auto"/>
            <w:vAlign w:val="bottom"/>
          </w:tcPr>
          <w:p w14:paraId="3D7D65B4" w14:textId="35BD6465"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4,108</w:t>
            </w:r>
          </w:p>
        </w:tc>
        <w:tc>
          <w:tcPr>
            <w:tcW w:w="1089" w:type="dxa"/>
            <w:shd w:val="clear" w:color="auto" w:fill="auto"/>
            <w:vAlign w:val="bottom"/>
          </w:tcPr>
          <w:p w14:paraId="0EB37612" w14:textId="3DC1443E"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6%</w:t>
            </w:r>
          </w:p>
        </w:tc>
        <w:tc>
          <w:tcPr>
            <w:tcW w:w="1159" w:type="dxa"/>
            <w:shd w:val="clear" w:color="auto" w:fill="auto"/>
            <w:vAlign w:val="bottom"/>
          </w:tcPr>
          <w:p w14:paraId="15C5558D" w14:textId="3A63D84A"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6,188</w:t>
            </w:r>
          </w:p>
        </w:tc>
        <w:tc>
          <w:tcPr>
            <w:tcW w:w="1253" w:type="dxa"/>
            <w:shd w:val="clear" w:color="auto" w:fill="auto"/>
            <w:vAlign w:val="bottom"/>
          </w:tcPr>
          <w:p w14:paraId="4E6FC0DD" w14:textId="236D5997" w:rsidR="007B024F" w:rsidRPr="00255B8B" w:rsidRDefault="007B024F" w:rsidP="007B024F">
            <w:pPr>
              <w:spacing w:after="0" w:line="240" w:lineRule="auto"/>
              <w:jc w:val="center"/>
              <w:rPr>
                <w:rFonts w:ascii="Calibri" w:eastAsia="Times New Roman" w:hAnsi="Calibri" w:cs="Calibri"/>
                <w:color w:val="000000"/>
                <w:sz w:val="20"/>
                <w:szCs w:val="20"/>
                <w:lang w:val="en-US" w:eastAsia="en-GB"/>
              </w:rPr>
            </w:pPr>
            <w:r w:rsidRPr="00255B8B">
              <w:rPr>
                <w:rFonts w:ascii="Calibri" w:hAnsi="Calibri" w:cs="Calibri"/>
                <w:color w:val="000000"/>
                <w:sz w:val="20"/>
                <w:szCs w:val="20"/>
              </w:rPr>
              <w:t>5,996</w:t>
            </w:r>
          </w:p>
        </w:tc>
        <w:tc>
          <w:tcPr>
            <w:tcW w:w="1060" w:type="dxa"/>
            <w:shd w:val="clear" w:color="auto" w:fill="auto"/>
            <w:vAlign w:val="bottom"/>
          </w:tcPr>
          <w:p w14:paraId="3046B26E" w14:textId="3512AD01"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-3%</w:t>
            </w:r>
          </w:p>
        </w:tc>
      </w:tr>
      <w:tr w:rsidR="007B024F" w14:paraId="3A18882C" w14:textId="77777777">
        <w:trPr>
          <w:jc w:val="center"/>
        </w:trPr>
        <w:tc>
          <w:tcPr>
            <w:tcW w:w="1474" w:type="dxa"/>
            <w:shd w:val="clear" w:color="auto" w:fill="auto"/>
            <w:vAlign w:val="bottom"/>
          </w:tcPr>
          <w:p w14:paraId="36434E4F" w14:textId="2883CD37" w:rsidR="007B024F" w:rsidRPr="00255B8B" w:rsidRDefault="007B024F" w:rsidP="007B024F">
            <w:pPr>
              <w:spacing w:after="0" w:line="240" w:lineRule="auto"/>
              <w:jc w:val="center"/>
              <w:rPr>
                <w:rFonts w:ascii="Calibri" w:eastAsia="Times New Roman" w:hAnsi="Calibri" w:cs="Calibri"/>
                <w:bCs/>
                <w:color w:val="000000"/>
                <w:sz w:val="20"/>
                <w:szCs w:val="20"/>
                <w:lang w:val="en-US" w:eastAsia="en-GB"/>
              </w:rPr>
            </w:pPr>
            <w:r w:rsidRPr="00255B8B">
              <w:rPr>
                <w:rFonts w:ascii="Calibri" w:hAnsi="Calibri" w:cs="Calibri"/>
                <w:color w:val="000000"/>
                <w:sz w:val="20"/>
                <w:szCs w:val="20"/>
              </w:rPr>
              <w:t>Chennai</w:t>
            </w:r>
          </w:p>
        </w:tc>
        <w:tc>
          <w:tcPr>
            <w:tcW w:w="1349" w:type="dxa"/>
            <w:shd w:val="clear" w:color="auto" w:fill="auto"/>
            <w:vAlign w:val="bottom"/>
          </w:tcPr>
          <w:p w14:paraId="4F2004D0" w14:textId="63648641"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3,685</w:t>
            </w:r>
          </w:p>
        </w:tc>
        <w:tc>
          <w:tcPr>
            <w:tcW w:w="1094" w:type="dxa"/>
            <w:shd w:val="clear" w:color="auto" w:fill="auto"/>
            <w:vAlign w:val="bottom"/>
          </w:tcPr>
          <w:p w14:paraId="1A6590C8" w14:textId="227F4C33"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3,870</w:t>
            </w:r>
          </w:p>
        </w:tc>
        <w:tc>
          <w:tcPr>
            <w:tcW w:w="1089" w:type="dxa"/>
            <w:shd w:val="clear" w:color="auto" w:fill="auto"/>
            <w:vAlign w:val="bottom"/>
          </w:tcPr>
          <w:p w14:paraId="45700DBD" w14:textId="089AF92D"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5%</w:t>
            </w:r>
          </w:p>
        </w:tc>
        <w:tc>
          <w:tcPr>
            <w:tcW w:w="1159" w:type="dxa"/>
            <w:shd w:val="clear" w:color="auto" w:fill="auto"/>
            <w:vAlign w:val="bottom"/>
          </w:tcPr>
          <w:p w14:paraId="76CBF7A1" w14:textId="3C55F31D"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3,912</w:t>
            </w:r>
          </w:p>
        </w:tc>
        <w:tc>
          <w:tcPr>
            <w:tcW w:w="1253" w:type="dxa"/>
            <w:shd w:val="clear" w:color="auto" w:fill="auto"/>
            <w:vAlign w:val="bottom"/>
          </w:tcPr>
          <w:p w14:paraId="09E7D1E1" w14:textId="485C691D" w:rsidR="007B024F" w:rsidRPr="00255B8B" w:rsidRDefault="007B024F" w:rsidP="007B024F">
            <w:pPr>
              <w:spacing w:after="0" w:line="240" w:lineRule="auto"/>
              <w:jc w:val="center"/>
              <w:rPr>
                <w:rFonts w:ascii="Calibri" w:eastAsia="Times New Roman" w:hAnsi="Calibri" w:cs="Calibri"/>
                <w:color w:val="000000"/>
                <w:sz w:val="20"/>
                <w:szCs w:val="20"/>
                <w:lang w:val="en-US" w:eastAsia="en-GB"/>
              </w:rPr>
            </w:pPr>
            <w:r w:rsidRPr="00255B8B">
              <w:rPr>
                <w:rFonts w:ascii="Calibri" w:hAnsi="Calibri" w:cs="Calibri"/>
                <w:color w:val="000000"/>
                <w:sz w:val="20"/>
                <w:szCs w:val="20"/>
              </w:rPr>
              <w:t>4,000</w:t>
            </w:r>
          </w:p>
        </w:tc>
        <w:tc>
          <w:tcPr>
            <w:tcW w:w="1060" w:type="dxa"/>
            <w:shd w:val="clear" w:color="auto" w:fill="auto"/>
            <w:vAlign w:val="bottom"/>
          </w:tcPr>
          <w:p w14:paraId="1D6B57EB" w14:textId="1C39659D"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2%</w:t>
            </w:r>
          </w:p>
        </w:tc>
      </w:tr>
      <w:tr w:rsidR="007B024F" w14:paraId="65D9FA03" w14:textId="77777777">
        <w:trPr>
          <w:jc w:val="center"/>
        </w:trPr>
        <w:tc>
          <w:tcPr>
            <w:tcW w:w="1474" w:type="dxa"/>
            <w:shd w:val="clear" w:color="auto" w:fill="auto"/>
            <w:vAlign w:val="bottom"/>
          </w:tcPr>
          <w:p w14:paraId="5A2CC37E" w14:textId="60FBF6F9" w:rsidR="007B024F" w:rsidRPr="00255B8B" w:rsidRDefault="007B024F" w:rsidP="007B024F">
            <w:pPr>
              <w:spacing w:after="0" w:line="240" w:lineRule="auto"/>
              <w:jc w:val="center"/>
              <w:rPr>
                <w:rFonts w:ascii="Calibri" w:eastAsia="Times New Roman" w:hAnsi="Calibri" w:cs="Calibri"/>
                <w:bCs/>
                <w:color w:val="000000"/>
                <w:sz w:val="20"/>
                <w:szCs w:val="20"/>
                <w:lang w:val="en-US" w:eastAsia="en-GB"/>
              </w:rPr>
            </w:pPr>
            <w:r w:rsidRPr="00255B8B">
              <w:rPr>
                <w:rFonts w:ascii="Calibri" w:hAnsi="Calibri" w:cs="Calibri"/>
                <w:color w:val="000000"/>
                <w:sz w:val="20"/>
                <w:szCs w:val="20"/>
              </w:rPr>
              <w:t>Kolkata</w:t>
            </w:r>
          </w:p>
        </w:tc>
        <w:tc>
          <w:tcPr>
            <w:tcW w:w="1349" w:type="dxa"/>
            <w:shd w:val="clear" w:color="auto" w:fill="auto"/>
            <w:vAlign w:val="bottom"/>
          </w:tcPr>
          <w:p w14:paraId="0254ABDE" w14:textId="3D3E9E7A"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1,843</w:t>
            </w:r>
          </w:p>
        </w:tc>
        <w:tc>
          <w:tcPr>
            <w:tcW w:w="1094" w:type="dxa"/>
            <w:shd w:val="clear" w:color="auto" w:fill="auto"/>
            <w:vAlign w:val="bottom"/>
          </w:tcPr>
          <w:p w14:paraId="05521721" w14:textId="26527701"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3,772</w:t>
            </w:r>
          </w:p>
        </w:tc>
        <w:tc>
          <w:tcPr>
            <w:tcW w:w="1089" w:type="dxa"/>
            <w:shd w:val="clear" w:color="auto" w:fill="auto"/>
            <w:vAlign w:val="bottom"/>
          </w:tcPr>
          <w:p w14:paraId="394DF84D" w14:textId="44AC1C2F"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105%</w:t>
            </w:r>
          </w:p>
        </w:tc>
        <w:tc>
          <w:tcPr>
            <w:tcW w:w="1159" w:type="dxa"/>
            <w:shd w:val="clear" w:color="auto" w:fill="auto"/>
            <w:vAlign w:val="bottom"/>
          </w:tcPr>
          <w:p w14:paraId="7F3B6BFD" w14:textId="19C2011B" w:rsidR="007B024F" w:rsidRPr="00255B8B" w:rsidRDefault="007B024F" w:rsidP="007B024F">
            <w:pPr>
              <w:spacing w:after="0" w:line="240" w:lineRule="auto"/>
              <w:jc w:val="center"/>
              <w:rPr>
                <w:rFonts w:ascii="Calibri" w:eastAsia="Times New Roman" w:hAnsi="Calibri" w:cs="Calibri"/>
                <w:color w:val="000000"/>
                <w:sz w:val="20"/>
                <w:szCs w:val="20"/>
                <w:lang w:eastAsia="en-IN"/>
              </w:rPr>
            </w:pPr>
            <w:r w:rsidRPr="00255B8B">
              <w:rPr>
                <w:rFonts w:ascii="Calibri" w:hAnsi="Calibri" w:cs="Calibri"/>
                <w:color w:val="000000"/>
                <w:sz w:val="20"/>
                <w:szCs w:val="20"/>
              </w:rPr>
              <w:t>1,531</w:t>
            </w:r>
          </w:p>
        </w:tc>
        <w:tc>
          <w:tcPr>
            <w:tcW w:w="1253" w:type="dxa"/>
            <w:shd w:val="clear" w:color="auto" w:fill="auto"/>
            <w:vAlign w:val="bottom"/>
          </w:tcPr>
          <w:p w14:paraId="25AACB83" w14:textId="42B12DF8" w:rsidR="007B024F" w:rsidRPr="00255B8B" w:rsidRDefault="007B024F" w:rsidP="007B024F">
            <w:pPr>
              <w:spacing w:after="0" w:line="240" w:lineRule="auto"/>
              <w:jc w:val="center"/>
              <w:rPr>
                <w:rFonts w:ascii="Calibri" w:eastAsia="Times New Roman" w:hAnsi="Calibri" w:cs="Calibri"/>
                <w:color w:val="000000"/>
                <w:sz w:val="20"/>
                <w:szCs w:val="20"/>
                <w:lang w:val="en-US" w:eastAsia="en-GB"/>
              </w:rPr>
            </w:pPr>
            <w:r w:rsidRPr="00255B8B">
              <w:rPr>
                <w:rFonts w:ascii="Calibri" w:hAnsi="Calibri" w:cs="Calibri"/>
                <w:color w:val="000000"/>
                <w:sz w:val="20"/>
                <w:szCs w:val="20"/>
              </w:rPr>
              <w:t>4,978</w:t>
            </w:r>
          </w:p>
        </w:tc>
        <w:tc>
          <w:tcPr>
            <w:tcW w:w="1060" w:type="dxa"/>
            <w:shd w:val="clear" w:color="auto" w:fill="auto"/>
            <w:vAlign w:val="bottom"/>
          </w:tcPr>
          <w:p w14:paraId="244E2B25" w14:textId="223D4FAC" w:rsidR="007B024F" w:rsidRPr="00255B8B" w:rsidRDefault="007B024F" w:rsidP="007B024F">
            <w:pPr>
              <w:spacing w:after="0" w:line="240" w:lineRule="auto"/>
              <w:jc w:val="center"/>
              <w:rPr>
                <w:rFonts w:ascii="Calibri" w:eastAsia="Calibri" w:hAnsi="Calibri" w:cs="Calibri"/>
                <w:color w:val="000000"/>
                <w:sz w:val="20"/>
                <w:szCs w:val="20"/>
                <w:lang w:val="en-US"/>
              </w:rPr>
            </w:pPr>
            <w:r w:rsidRPr="00255B8B">
              <w:rPr>
                <w:rFonts w:ascii="Calibri" w:hAnsi="Calibri" w:cs="Calibri"/>
                <w:color w:val="000000"/>
                <w:sz w:val="20"/>
                <w:szCs w:val="20"/>
              </w:rPr>
              <w:t>225%</w:t>
            </w:r>
          </w:p>
        </w:tc>
      </w:tr>
      <w:tr w:rsidR="007B024F" w14:paraId="1B153B7B" w14:textId="77777777">
        <w:trPr>
          <w:jc w:val="center"/>
        </w:trPr>
        <w:tc>
          <w:tcPr>
            <w:tcW w:w="1474" w:type="dxa"/>
            <w:shd w:val="clear" w:color="auto" w:fill="auto"/>
            <w:vAlign w:val="bottom"/>
          </w:tcPr>
          <w:p w14:paraId="7659418B" w14:textId="25264564" w:rsidR="007B024F" w:rsidRPr="00255B8B" w:rsidRDefault="007B024F" w:rsidP="007B024F">
            <w:pPr>
              <w:spacing w:after="0" w:line="240" w:lineRule="auto"/>
              <w:jc w:val="center"/>
              <w:rPr>
                <w:rFonts w:ascii="Calibri" w:eastAsia="Times New Roman" w:hAnsi="Calibri" w:cs="Calibri"/>
                <w:bCs/>
                <w:color w:val="000000"/>
                <w:sz w:val="20"/>
                <w:szCs w:val="20"/>
                <w:lang w:eastAsia="en-IN"/>
              </w:rPr>
            </w:pPr>
            <w:r w:rsidRPr="00255B8B">
              <w:rPr>
                <w:rFonts w:ascii="Calibri" w:hAnsi="Calibri" w:cs="Calibri"/>
                <w:color w:val="000000"/>
                <w:sz w:val="20"/>
                <w:szCs w:val="20"/>
              </w:rPr>
              <w:t>Total</w:t>
            </w:r>
          </w:p>
        </w:tc>
        <w:tc>
          <w:tcPr>
            <w:tcW w:w="1349" w:type="dxa"/>
            <w:shd w:val="clear" w:color="auto" w:fill="auto"/>
            <w:vAlign w:val="bottom"/>
          </w:tcPr>
          <w:p w14:paraId="59346662" w14:textId="4840C0E1" w:rsidR="007B024F" w:rsidRPr="00255B8B" w:rsidRDefault="007B024F" w:rsidP="007B024F">
            <w:pPr>
              <w:spacing w:after="0" w:line="240" w:lineRule="auto"/>
              <w:jc w:val="center"/>
              <w:rPr>
                <w:rFonts w:ascii="Calibri" w:eastAsia="Times New Roman" w:hAnsi="Calibri" w:cs="Calibri"/>
                <w:b/>
                <w:color w:val="000000"/>
                <w:sz w:val="20"/>
                <w:szCs w:val="20"/>
                <w:lang w:eastAsia="en-IN"/>
              </w:rPr>
            </w:pPr>
            <w:r w:rsidRPr="00255B8B">
              <w:rPr>
                <w:rFonts w:ascii="Calibri" w:hAnsi="Calibri" w:cs="Calibri"/>
                <w:color w:val="000000"/>
                <w:sz w:val="20"/>
                <w:szCs w:val="20"/>
              </w:rPr>
              <w:t>73,691</w:t>
            </w:r>
          </w:p>
        </w:tc>
        <w:tc>
          <w:tcPr>
            <w:tcW w:w="1094" w:type="dxa"/>
            <w:shd w:val="clear" w:color="auto" w:fill="auto"/>
            <w:vAlign w:val="bottom"/>
          </w:tcPr>
          <w:p w14:paraId="4A48A53A" w14:textId="77345060" w:rsidR="007B024F" w:rsidRPr="00255B8B" w:rsidRDefault="007B024F" w:rsidP="007B024F">
            <w:pPr>
              <w:spacing w:after="0" w:line="240" w:lineRule="auto"/>
              <w:jc w:val="center"/>
              <w:rPr>
                <w:rFonts w:ascii="Calibri" w:eastAsia="Calibri" w:hAnsi="Calibri" w:cs="Calibri"/>
                <w:b/>
                <w:color w:val="000000"/>
                <w:sz w:val="20"/>
                <w:szCs w:val="20"/>
                <w:lang w:val="en-US"/>
              </w:rPr>
            </w:pPr>
            <w:r w:rsidRPr="00255B8B">
              <w:rPr>
                <w:rFonts w:ascii="Calibri" w:hAnsi="Calibri" w:cs="Calibri"/>
                <w:color w:val="000000"/>
                <w:sz w:val="20"/>
                <w:szCs w:val="20"/>
              </w:rPr>
              <w:t>82,612</w:t>
            </w:r>
          </w:p>
        </w:tc>
        <w:tc>
          <w:tcPr>
            <w:tcW w:w="1089" w:type="dxa"/>
            <w:shd w:val="clear" w:color="auto" w:fill="auto"/>
            <w:vAlign w:val="bottom"/>
          </w:tcPr>
          <w:p w14:paraId="5FF783ED" w14:textId="2CFC6E82" w:rsidR="007B024F" w:rsidRPr="00255B8B" w:rsidRDefault="007B024F" w:rsidP="007B024F">
            <w:pPr>
              <w:spacing w:after="0" w:line="240" w:lineRule="auto"/>
              <w:jc w:val="center"/>
              <w:rPr>
                <w:rFonts w:ascii="Calibri" w:eastAsia="Calibri" w:hAnsi="Calibri" w:cs="Calibri"/>
                <w:bCs/>
                <w:color w:val="000000"/>
                <w:sz w:val="20"/>
                <w:szCs w:val="20"/>
                <w:lang w:val="en-US"/>
              </w:rPr>
            </w:pPr>
            <w:r w:rsidRPr="00255B8B">
              <w:rPr>
                <w:rFonts w:ascii="Calibri" w:hAnsi="Calibri" w:cs="Calibri"/>
                <w:color w:val="000000"/>
                <w:sz w:val="20"/>
                <w:szCs w:val="20"/>
              </w:rPr>
              <w:t>12%</w:t>
            </w:r>
          </w:p>
        </w:tc>
        <w:tc>
          <w:tcPr>
            <w:tcW w:w="1159" w:type="dxa"/>
            <w:shd w:val="clear" w:color="auto" w:fill="auto"/>
            <w:vAlign w:val="bottom"/>
          </w:tcPr>
          <w:p w14:paraId="358CFD7B" w14:textId="6B283FF9" w:rsidR="007B024F" w:rsidRPr="00255B8B" w:rsidRDefault="007B024F" w:rsidP="007B024F">
            <w:pPr>
              <w:spacing w:after="0" w:line="240" w:lineRule="auto"/>
              <w:jc w:val="center"/>
              <w:rPr>
                <w:rFonts w:ascii="Calibri" w:eastAsia="Times New Roman" w:hAnsi="Calibri" w:cs="Calibri"/>
                <w:bCs/>
                <w:color w:val="000000"/>
                <w:sz w:val="20"/>
                <w:szCs w:val="20"/>
                <w:lang w:eastAsia="en-IN"/>
              </w:rPr>
            </w:pPr>
            <w:r w:rsidRPr="00255B8B">
              <w:rPr>
                <w:rFonts w:ascii="Calibri" w:hAnsi="Calibri" w:cs="Calibri"/>
                <w:color w:val="000000"/>
                <w:sz w:val="20"/>
                <w:szCs w:val="20"/>
              </w:rPr>
              <w:t>69,687</w:t>
            </w:r>
          </w:p>
        </w:tc>
        <w:tc>
          <w:tcPr>
            <w:tcW w:w="1253" w:type="dxa"/>
            <w:shd w:val="clear" w:color="auto" w:fill="auto"/>
            <w:vAlign w:val="bottom"/>
          </w:tcPr>
          <w:p w14:paraId="7CE51E1D" w14:textId="022B2FFE" w:rsidR="007B024F" w:rsidRPr="00255B8B" w:rsidRDefault="007B024F" w:rsidP="007B024F">
            <w:pPr>
              <w:spacing w:after="0" w:line="240" w:lineRule="auto"/>
              <w:jc w:val="center"/>
              <w:rPr>
                <w:rFonts w:ascii="Calibri" w:eastAsia="Times New Roman" w:hAnsi="Calibri" w:cs="Calibri"/>
                <w:bCs/>
                <w:color w:val="000000"/>
                <w:sz w:val="20"/>
                <w:szCs w:val="20"/>
                <w:lang w:val="en-US" w:eastAsia="en-GB"/>
              </w:rPr>
            </w:pPr>
            <w:r w:rsidRPr="00255B8B">
              <w:rPr>
                <w:rFonts w:ascii="Calibri" w:hAnsi="Calibri" w:cs="Calibri"/>
                <w:color w:val="000000"/>
                <w:sz w:val="20"/>
                <w:szCs w:val="20"/>
              </w:rPr>
              <w:t>85,549</w:t>
            </w:r>
          </w:p>
        </w:tc>
        <w:tc>
          <w:tcPr>
            <w:tcW w:w="1060" w:type="dxa"/>
            <w:shd w:val="clear" w:color="auto" w:fill="auto"/>
            <w:vAlign w:val="bottom"/>
          </w:tcPr>
          <w:p w14:paraId="7CC134D8" w14:textId="4DDCD28D" w:rsidR="007B024F" w:rsidRPr="00255B8B" w:rsidRDefault="007B024F" w:rsidP="007B024F">
            <w:pPr>
              <w:spacing w:after="0" w:line="240" w:lineRule="auto"/>
              <w:jc w:val="center"/>
              <w:rPr>
                <w:rFonts w:ascii="Calibri" w:eastAsia="Calibri" w:hAnsi="Calibri" w:cs="Calibri"/>
                <w:bCs/>
                <w:color w:val="000000"/>
                <w:sz w:val="20"/>
                <w:szCs w:val="20"/>
                <w:lang w:val="en-US"/>
              </w:rPr>
            </w:pPr>
            <w:r w:rsidRPr="00255B8B">
              <w:rPr>
                <w:rFonts w:ascii="Calibri" w:hAnsi="Calibri" w:cs="Calibri"/>
                <w:color w:val="000000"/>
                <w:sz w:val="20"/>
                <w:szCs w:val="20"/>
              </w:rPr>
              <w:t>23%</w:t>
            </w:r>
          </w:p>
        </w:tc>
      </w:tr>
    </w:tbl>
    <w:p w14:paraId="18979EA6" w14:textId="77777777" w:rsidR="009701AB" w:rsidRDefault="002906FF" w:rsidP="00255B8B">
      <w:pPr>
        <w:ind w:left="284"/>
        <w:rPr>
          <w:sz w:val="16"/>
        </w:rPr>
      </w:pPr>
      <w:r>
        <w:rPr>
          <w:sz w:val="16"/>
        </w:rPr>
        <w:t>Source: Knight Frank Research</w:t>
      </w:r>
    </w:p>
    <w:tbl>
      <w:tblPr>
        <w:tblStyle w:val="TableGrid"/>
        <w:tblW w:w="0" w:type="auto"/>
        <w:shd w:val="clear" w:color="auto" w:fill="C00000"/>
        <w:tblLook w:val="04A0" w:firstRow="1" w:lastRow="0" w:firstColumn="1" w:lastColumn="0" w:noHBand="0" w:noVBand="1"/>
      </w:tblPr>
      <w:tblGrid>
        <w:gridCol w:w="9016"/>
      </w:tblGrid>
      <w:tr w:rsidR="009701AB" w14:paraId="2F1A3F63" w14:textId="77777777">
        <w:tc>
          <w:tcPr>
            <w:tcW w:w="9016" w:type="dxa"/>
            <w:shd w:val="clear" w:color="auto" w:fill="C00000"/>
          </w:tcPr>
          <w:p w14:paraId="0BAE0C4B" w14:textId="77777777" w:rsidR="009701AB" w:rsidRDefault="002906FF">
            <w:pPr>
              <w:spacing w:after="0" w:line="240" w:lineRule="auto"/>
              <w:rPr>
                <w:color w:val="FFFFFF" w:themeColor="background1"/>
                <w:lang w:val="en-US"/>
              </w:rPr>
            </w:pPr>
            <w:r>
              <w:rPr>
                <w:b/>
                <w:bCs/>
                <w:color w:val="FFFFFF" w:themeColor="background1"/>
              </w:rPr>
              <w:t>Demand Supply Economics:</w:t>
            </w:r>
            <w:r>
              <w:rPr>
                <w:b/>
                <w:bCs/>
                <w:color w:val="FFFFFF" w:themeColor="background1"/>
                <w:lang w:val="en-US"/>
              </w:rPr>
              <w:t xml:space="preserve"> Sales velocity maintained</w:t>
            </w:r>
            <w:r>
              <w:rPr>
                <w:b/>
                <w:bCs/>
                <w:color w:val="FFFFFF" w:themeColor="background1"/>
              </w:rPr>
              <w:t>, Supply levels significantly elevated</w:t>
            </w:r>
            <w:r>
              <w:rPr>
                <w:color w:val="FFFFFF" w:themeColor="background1"/>
                <w:lang w:val="en-US"/>
              </w:rPr>
              <w:t xml:space="preserve">               </w:t>
            </w:r>
          </w:p>
        </w:tc>
      </w:tr>
    </w:tbl>
    <w:p w14:paraId="0A433647" w14:textId="77777777" w:rsidR="00E95B94" w:rsidRDefault="00E95B94">
      <w:pPr>
        <w:jc w:val="both"/>
        <w:rPr>
          <w:bCs/>
          <w:color w:val="000000" w:themeColor="text1"/>
        </w:rPr>
      </w:pPr>
    </w:p>
    <w:p w14:paraId="1CFE7DE7" w14:textId="38E599F9" w:rsidR="009701AB" w:rsidRDefault="002906FF">
      <w:pPr>
        <w:jc w:val="both"/>
        <w:rPr>
          <w:bCs/>
          <w:color w:val="000000" w:themeColor="text1"/>
        </w:rPr>
      </w:pPr>
      <w:r>
        <w:rPr>
          <w:bCs/>
          <w:color w:val="000000" w:themeColor="text1"/>
        </w:rPr>
        <w:t xml:space="preserve">The momentum in residential sales has sustained even as an inflationary environment forced the </w:t>
      </w:r>
      <w:proofErr w:type="spellStart"/>
      <w:r w:rsidR="00E95B94">
        <w:rPr>
          <w:bCs/>
          <w:color w:val="000000" w:themeColor="text1"/>
        </w:rPr>
        <w:t>Researve</w:t>
      </w:r>
      <w:proofErr w:type="spellEnd"/>
      <w:r w:rsidR="00E95B94">
        <w:rPr>
          <w:bCs/>
          <w:color w:val="000000" w:themeColor="text1"/>
        </w:rPr>
        <w:t xml:space="preserve"> Bank of India (</w:t>
      </w:r>
      <w:r>
        <w:rPr>
          <w:bCs/>
          <w:color w:val="000000" w:themeColor="text1"/>
        </w:rPr>
        <w:t>RBI</w:t>
      </w:r>
      <w:r w:rsidR="00E95B94">
        <w:rPr>
          <w:bCs/>
          <w:color w:val="000000" w:themeColor="text1"/>
        </w:rPr>
        <w:t>)</w:t>
      </w:r>
      <w:r>
        <w:rPr>
          <w:bCs/>
          <w:color w:val="000000" w:themeColor="text1"/>
        </w:rPr>
        <w:t xml:space="preserve"> to push up the Repo Rate by 250 bps to 6.5%</w:t>
      </w:r>
      <w:r w:rsidR="00F42A49">
        <w:rPr>
          <w:bCs/>
          <w:color w:val="000000" w:themeColor="text1"/>
        </w:rPr>
        <w:t xml:space="preserve"> earlier this year</w:t>
      </w:r>
      <w:r>
        <w:rPr>
          <w:bCs/>
          <w:color w:val="000000" w:themeColor="text1"/>
        </w:rPr>
        <w:t xml:space="preserve">, a level not exceeded since 2016. </w:t>
      </w:r>
      <w:r w:rsidR="00E95B94">
        <w:rPr>
          <w:bCs/>
          <w:color w:val="000000" w:themeColor="text1"/>
        </w:rPr>
        <w:t xml:space="preserve">Despite that, the </w:t>
      </w:r>
      <w:r>
        <w:rPr>
          <w:bCs/>
          <w:color w:val="000000" w:themeColor="text1"/>
        </w:rPr>
        <w:t xml:space="preserve">Indian residential market achieved sales of 82,612 units across the eight cities at a growth of 12% YoY. Kolkata </w:t>
      </w:r>
      <w:r w:rsidR="00E95B94">
        <w:rPr>
          <w:bCs/>
          <w:color w:val="000000" w:themeColor="text1"/>
        </w:rPr>
        <w:t xml:space="preserve">saw the </w:t>
      </w:r>
      <w:r>
        <w:rPr>
          <w:bCs/>
          <w:color w:val="000000" w:themeColor="text1"/>
        </w:rPr>
        <w:t>highest growth at 105% YoY, largely due to a pronounced base effect caused by the market transitioning into the RERA environment during Q3 2022. Among the larger markets, NCR stood out with a 27% growth in sales during the quarter. Sales volumes in Pune grew by 20% YoY while the rest of the markets experienced steady single digit growth during the quarter.</w:t>
      </w:r>
    </w:p>
    <w:p w14:paraId="6A30BE96" w14:textId="447130A7" w:rsidR="009701AB" w:rsidRDefault="002906FF">
      <w:pPr>
        <w:jc w:val="both"/>
        <w:rPr>
          <w:bCs/>
          <w:color w:val="000000" w:themeColor="text1"/>
        </w:rPr>
      </w:pPr>
      <w:r>
        <w:rPr>
          <w:bCs/>
          <w:color w:val="000000" w:themeColor="text1"/>
        </w:rPr>
        <w:lastRenderedPageBreak/>
        <w:t xml:space="preserve">With 23% YoY growth during Q3 2023, supply levels at 85,549 units were significantly elevated as developers </w:t>
      </w:r>
      <w:r w:rsidR="007B024F">
        <w:rPr>
          <w:bCs/>
          <w:color w:val="000000" w:themeColor="text1"/>
        </w:rPr>
        <w:t>look to capitalise</w:t>
      </w:r>
      <w:r>
        <w:rPr>
          <w:bCs/>
          <w:color w:val="000000" w:themeColor="text1"/>
        </w:rPr>
        <w:t xml:space="preserve"> on the steady homebuyer demand. </w:t>
      </w:r>
    </w:p>
    <w:tbl>
      <w:tblPr>
        <w:tblStyle w:val="TableGrid"/>
        <w:tblW w:w="0" w:type="auto"/>
        <w:shd w:val="clear" w:color="auto" w:fill="C00000"/>
        <w:tblLook w:val="04A0" w:firstRow="1" w:lastRow="0" w:firstColumn="1" w:lastColumn="0" w:noHBand="0" w:noVBand="1"/>
      </w:tblPr>
      <w:tblGrid>
        <w:gridCol w:w="9016"/>
      </w:tblGrid>
      <w:tr w:rsidR="009701AB" w14:paraId="6456A4F6" w14:textId="77777777">
        <w:tc>
          <w:tcPr>
            <w:tcW w:w="9016" w:type="dxa"/>
            <w:shd w:val="clear" w:color="auto" w:fill="C00000"/>
          </w:tcPr>
          <w:p w14:paraId="0FA5BD2A" w14:textId="45644318" w:rsidR="009701AB" w:rsidRDefault="002906FF">
            <w:pPr>
              <w:spacing w:after="0" w:line="240" w:lineRule="auto"/>
              <w:rPr>
                <w:color w:val="FFFFFF" w:themeColor="background1"/>
                <w:lang w:val="en-US"/>
              </w:rPr>
            </w:pPr>
            <w:r>
              <w:rPr>
                <w:b/>
                <w:bCs/>
                <w:color w:val="FFFFFF" w:themeColor="background1"/>
                <w:lang w:val="en-US"/>
              </w:rPr>
              <w:t>Sales acceleration in mid and premium segment, Affordable segment hardest hit</w:t>
            </w:r>
          </w:p>
        </w:tc>
      </w:tr>
    </w:tbl>
    <w:p w14:paraId="6B034DC0" w14:textId="326ED40D" w:rsidR="009701AB" w:rsidRDefault="002906FF">
      <w:pPr>
        <w:rPr>
          <w:bCs/>
          <w:color w:val="000000" w:themeColor="text1"/>
        </w:rPr>
      </w:pPr>
      <w:r>
        <w:rPr>
          <w:bCs/>
          <w:color w:val="000000" w:themeColor="text1"/>
        </w:rPr>
        <w:t>The underlying fabric of the market has altered significantly with the mid and premium segments constituting the bulk of sales</w:t>
      </w:r>
      <w:r w:rsidR="00E95B94">
        <w:rPr>
          <w:bCs/>
          <w:color w:val="000000" w:themeColor="text1"/>
        </w:rPr>
        <w:t xml:space="preserve"> while </w:t>
      </w:r>
      <w:r>
        <w:rPr>
          <w:bCs/>
          <w:color w:val="000000" w:themeColor="text1"/>
        </w:rPr>
        <w:t xml:space="preserve">affordable segment witnessing a decline in volume. </w:t>
      </w:r>
    </w:p>
    <w:p w14:paraId="78CABD87" w14:textId="77777777" w:rsidR="009701AB" w:rsidRDefault="002906FF">
      <w:pPr>
        <w:rPr>
          <w:b/>
          <w:color w:val="FF0000"/>
        </w:rPr>
      </w:pPr>
      <w:r>
        <w:rPr>
          <w:b/>
          <w:color w:val="FF0000"/>
        </w:rPr>
        <w:t xml:space="preserve">Below INR 5 mn </w:t>
      </w:r>
    </w:p>
    <w:p w14:paraId="32A94703" w14:textId="60C9B284" w:rsidR="00D92F6B" w:rsidRPr="00540D9C" w:rsidRDefault="002906FF">
      <w:pPr>
        <w:jc w:val="both"/>
        <w:rPr>
          <w:color w:val="000000" w:themeColor="text1"/>
        </w:rPr>
      </w:pPr>
      <w:r>
        <w:rPr>
          <w:color w:val="000000" w:themeColor="text1"/>
        </w:rPr>
        <w:t xml:space="preserve">The share of the INR 5 mn </w:t>
      </w:r>
      <w:r w:rsidR="00E95B94">
        <w:rPr>
          <w:color w:val="000000" w:themeColor="text1"/>
        </w:rPr>
        <w:t xml:space="preserve">(INR 50 lakhs) </w:t>
      </w:r>
      <w:r>
        <w:rPr>
          <w:color w:val="000000" w:themeColor="text1"/>
        </w:rPr>
        <w:t>and below ticket-size has deteriorated from 36% with sales of 26,831 units in Q3 2022 to 29% with sales of 24,143 units in Q3 2023. The trio effect of increasing prices, home loan rates and the comparatively adverse impact of the pandemic in</w:t>
      </w:r>
      <w:r>
        <w:t xml:space="preserve"> this segment continued to weigh</w:t>
      </w:r>
      <w:r>
        <w:rPr>
          <w:lang w:val="en-US"/>
        </w:rPr>
        <w:t xml:space="preserve"> down</w:t>
      </w:r>
      <w:r>
        <w:t xml:space="preserve"> on demand.</w:t>
      </w:r>
      <w:r w:rsidR="00F9746B">
        <w:t xml:space="preserve"> </w:t>
      </w:r>
      <w:r w:rsidR="00D92F6B" w:rsidRPr="00540D9C">
        <w:rPr>
          <w:color w:val="000000" w:themeColor="text1"/>
        </w:rPr>
        <w:t xml:space="preserve">This is the first time that </w:t>
      </w:r>
      <w:r w:rsidR="00D92F6B">
        <w:rPr>
          <w:color w:val="000000" w:themeColor="text1"/>
        </w:rPr>
        <w:t xml:space="preserve">the quarterly sales share of this segment has been eclipsed by that of the mid </w:t>
      </w:r>
      <w:r w:rsidR="00D92F6B" w:rsidRPr="00BF6AF1">
        <w:rPr>
          <w:color w:val="000000" w:themeColor="text1"/>
        </w:rPr>
        <w:t xml:space="preserve">as well as premium segments. The current sales share of 29% is a far cry from the 54% levels in 2018. </w:t>
      </w:r>
    </w:p>
    <w:p w14:paraId="68D0C29A" w14:textId="4484A747" w:rsidR="009701AB" w:rsidRDefault="00D92F6B">
      <w:pPr>
        <w:jc w:val="both"/>
        <w:rPr>
          <w:color w:val="000000" w:themeColor="text1"/>
        </w:rPr>
      </w:pPr>
      <w:r w:rsidRPr="00540D9C">
        <w:rPr>
          <w:color w:val="000000" w:themeColor="text1"/>
        </w:rPr>
        <w:t xml:space="preserve">Incidentally, the </w:t>
      </w:r>
      <w:r w:rsidR="002906FF" w:rsidRPr="00540D9C">
        <w:rPr>
          <w:color w:val="000000" w:themeColor="text1"/>
        </w:rPr>
        <w:t xml:space="preserve">most expensive residential market in the country, Mumbai, which </w:t>
      </w:r>
      <w:r w:rsidR="00C01135">
        <w:rPr>
          <w:color w:val="000000" w:themeColor="text1"/>
        </w:rPr>
        <w:t xml:space="preserve">would </w:t>
      </w:r>
      <w:r w:rsidR="002906FF" w:rsidRPr="00540D9C">
        <w:rPr>
          <w:color w:val="000000" w:themeColor="text1"/>
        </w:rPr>
        <w:t>find maximum traction for the affordable segment witnessed an annual de-growth of 2.6</w:t>
      </w:r>
      <w:r w:rsidR="00DB377F" w:rsidRPr="00540D9C">
        <w:rPr>
          <w:color w:val="000000" w:themeColor="text1"/>
        </w:rPr>
        <w:t xml:space="preserve">% </w:t>
      </w:r>
      <w:r w:rsidR="00DB377F">
        <w:rPr>
          <w:color w:val="000000" w:themeColor="text1"/>
        </w:rPr>
        <w:t>YoY</w:t>
      </w:r>
      <w:r w:rsidR="00C01135">
        <w:rPr>
          <w:color w:val="000000" w:themeColor="text1"/>
        </w:rPr>
        <w:t xml:space="preserve"> in this category </w:t>
      </w:r>
      <w:r w:rsidR="002906FF" w:rsidRPr="00540D9C">
        <w:rPr>
          <w:color w:val="000000" w:themeColor="text1"/>
        </w:rPr>
        <w:t xml:space="preserve">during the quarter. The affordable housing sales declined from 10,198 units in Q3 </w:t>
      </w:r>
      <w:r w:rsidR="00F42A49" w:rsidRPr="00540D9C">
        <w:rPr>
          <w:color w:val="000000" w:themeColor="text1"/>
        </w:rPr>
        <w:t>202</w:t>
      </w:r>
      <w:r w:rsidR="00F42A49">
        <w:rPr>
          <w:color w:val="000000" w:themeColor="text1"/>
        </w:rPr>
        <w:t>2</w:t>
      </w:r>
      <w:r w:rsidR="00F42A49" w:rsidRPr="00540D9C">
        <w:rPr>
          <w:color w:val="000000" w:themeColor="text1"/>
        </w:rPr>
        <w:t xml:space="preserve"> </w:t>
      </w:r>
      <w:r w:rsidR="002906FF" w:rsidRPr="00540D9C">
        <w:rPr>
          <w:color w:val="000000" w:themeColor="text1"/>
        </w:rPr>
        <w:t>to 9,930 units in Q3 2023 in Mumbai.</w:t>
      </w:r>
      <w:r w:rsidR="002906FF">
        <w:rPr>
          <w:color w:val="000000" w:themeColor="text1"/>
        </w:rPr>
        <w:t xml:space="preserve">  </w:t>
      </w:r>
    </w:p>
    <w:p w14:paraId="2BC68263" w14:textId="77777777" w:rsidR="009701AB" w:rsidRDefault="002906FF">
      <w:pPr>
        <w:rPr>
          <w:b/>
          <w:color w:val="FF0000"/>
        </w:rPr>
      </w:pPr>
      <w:r>
        <w:rPr>
          <w:b/>
          <w:color w:val="FF0000"/>
        </w:rPr>
        <w:t xml:space="preserve">Between INR 5-10 mn </w:t>
      </w:r>
    </w:p>
    <w:p w14:paraId="7984CDC7" w14:textId="5200A875" w:rsidR="009701AB" w:rsidRDefault="002906FF">
      <w:pPr>
        <w:jc w:val="both"/>
        <w:rPr>
          <w:color w:val="000000" w:themeColor="text1"/>
        </w:rPr>
      </w:pPr>
      <w:r>
        <w:rPr>
          <w:color w:val="000000" w:themeColor="text1"/>
        </w:rPr>
        <w:t xml:space="preserve">With a sales share of 36%, the highest volume of residential sales has been recorded in the ticket size of INR 5-10 mn or mid-residential segment. </w:t>
      </w:r>
      <w:r w:rsidR="00C01135">
        <w:rPr>
          <w:color w:val="000000" w:themeColor="text1"/>
        </w:rPr>
        <w:t>S</w:t>
      </w:r>
      <w:r>
        <w:rPr>
          <w:color w:val="000000" w:themeColor="text1"/>
        </w:rPr>
        <w:t>ales in this ticket-size category has recorded an annual growth of 14% at 29,827 units during Q3 2023. Bengaluru (6,879), Pune (6,086) and Mumbai (5,360) together accounted for more than 60% of sales in the ticket-size between INR 5 mn to 10 mn.</w:t>
      </w:r>
    </w:p>
    <w:p w14:paraId="76D745DF" w14:textId="77777777" w:rsidR="009701AB" w:rsidRDefault="002906FF">
      <w:pPr>
        <w:rPr>
          <w:b/>
          <w:color w:val="FF0000"/>
        </w:rPr>
      </w:pPr>
      <w:r>
        <w:rPr>
          <w:b/>
          <w:color w:val="FF0000"/>
        </w:rPr>
        <w:t>INR 10 mn &amp; above</w:t>
      </w:r>
    </w:p>
    <w:p w14:paraId="3BA08282" w14:textId="33071907" w:rsidR="009701AB" w:rsidRDefault="002906FF">
      <w:pPr>
        <w:jc w:val="both"/>
      </w:pPr>
      <w:r>
        <w:t xml:space="preserve">Consistent with an upward trend seen in the past seven quarters, the share of sales in the INR 10 mn </w:t>
      </w:r>
      <w:r w:rsidR="00C01135">
        <w:t xml:space="preserve">(INR 1CR) </w:t>
      </w:r>
      <w:r>
        <w:t>and above ticket-size or premium segment grew significantly to 35% in Q3 2023 compared to 28% a year ago. In Q3 2023, this ticket size category witnessed a growth of 39% YoY to 28,642 housing unit sales from 20,591 in Q3 2022. With sales of 8,075 units, NCR constituted 28% of the sales volume which is highest in the premium segment in the country. NCR is followed by Mumbai and Bengaluru at 7</w:t>
      </w:r>
      <w:r w:rsidR="00C01135">
        <w:t>,</w:t>
      </w:r>
      <w:r>
        <w:t>018 units and 4</w:t>
      </w:r>
      <w:r w:rsidR="00C01135">
        <w:t>,</w:t>
      </w:r>
      <w:r>
        <w:t>770 units, respectively.</w:t>
      </w:r>
    </w:p>
    <w:p w14:paraId="615A93C7" w14:textId="77777777" w:rsidR="00DB377F" w:rsidRDefault="00DB377F">
      <w:pPr>
        <w:spacing w:after="0" w:line="240" w:lineRule="auto"/>
        <w:rPr>
          <w:rFonts w:ascii="Segoe UI" w:hAnsi="Segoe UI" w:cs="Segoe UI"/>
          <w:b/>
          <w:bCs/>
          <w:color w:val="374151"/>
          <w:shd w:val="clear" w:color="auto" w:fill="F7F7F8"/>
        </w:rPr>
      </w:pPr>
      <w:r>
        <w:rPr>
          <w:rFonts w:ascii="Segoe UI" w:hAnsi="Segoe UI" w:cs="Segoe UI"/>
          <w:b/>
          <w:bCs/>
          <w:color w:val="374151"/>
          <w:shd w:val="clear" w:color="auto" w:fill="F7F7F8"/>
        </w:rPr>
        <w:br w:type="page"/>
      </w:r>
    </w:p>
    <w:p w14:paraId="73F5ABC0" w14:textId="658E13F8" w:rsidR="00DB377F" w:rsidRPr="00255B8B" w:rsidRDefault="00DB377F" w:rsidP="00255B8B">
      <w:pPr>
        <w:jc w:val="center"/>
        <w:rPr>
          <w:rFonts w:ascii="Segoe UI" w:hAnsi="Segoe UI" w:cs="Segoe UI"/>
          <w:b/>
          <w:bCs/>
          <w:color w:val="374151"/>
          <w:shd w:val="clear" w:color="auto" w:fill="F7F7F8"/>
        </w:rPr>
      </w:pPr>
      <w:r w:rsidRPr="002F3C79">
        <w:rPr>
          <w:rFonts w:ascii="Segoe UI" w:hAnsi="Segoe UI" w:cs="Segoe UI"/>
          <w:b/>
          <w:bCs/>
          <w:color w:val="374151"/>
          <w:shd w:val="clear" w:color="auto" w:fill="F7F7F8"/>
        </w:rPr>
        <w:lastRenderedPageBreak/>
        <w:t>Demand Analysis</w:t>
      </w:r>
      <w:r w:rsidRPr="005062AF">
        <w:rPr>
          <w:rFonts w:ascii="Segoe UI" w:hAnsi="Segoe UI" w:cs="Segoe UI"/>
          <w:b/>
          <w:bCs/>
          <w:color w:val="374151"/>
          <w:shd w:val="clear" w:color="auto" w:fill="F7F7F8"/>
        </w:rPr>
        <w:t xml:space="preserve"> </w:t>
      </w:r>
      <w:r w:rsidR="004E29F9" w:rsidRPr="005062AF">
        <w:rPr>
          <w:rFonts w:ascii="Segoe UI" w:hAnsi="Segoe UI" w:cs="Segoe UI"/>
          <w:b/>
          <w:bCs/>
          <w:color w:val="374151"/>
          <w:shd w:val="clear" w:color="auto" w:fill="F7F7F8"/>
        </w:rPr>
        <w:t>by</w:t>
      </w:r>
      <w:r w:rsidRPr="005062AF">
        <w:rPr>
          <w:rFonts w:ascii="Segoe UI" w:hAnsi="Segoe UI" w:cs="Segoe UI"/>
          <w:b/>
          <w:bCs/>
          <w:color w:val="374151"/>
          <w:shd w:val="clear" w:color="auto" w:fill="F7F7F8"/>
        </w:rPr>
        <w:t xml:space="preserve"> </w:t>
      </w:r>
      <w:r w:rsidRPr="002F3C79">
        <w:rPr>
          <w:rFonts w:ascii="Segoe UI" w:hAnsi="Segoe UI" w:cs="Segoe UI"/>
          <w:b/>
          <w:bCs/>
          <w:color w:val="374151"/>
          <w:shd w:val="clear" w:color="auto" w:fill="F7F7F8"/>
        </w:rPr>
        <w:t xml:space="preserve">Ticket Size </w:t>
      </w:r>
      <w:r w:rsidR="00324C58">
        <w:rPr>
          <w:rFonts w:ascii="Segoe UI" w:hAnsi="Segoe UI" w:cs="Segoe UI"/>
          <w:b/>
          <w:bCs/>
          <w:color w:val="374151"/>
          <w:shd w:val="clear" w:color="auto" w:fill="F7F7F8"/>
        </w:rPr>
        <w:t>(Q3 2022 vs Q3 2023)</w:t>
      </w:r>
      <w:r w:rsidR="005062AF">
        <w:rPr>
          <w:noProof/>
        </w:rPr>
        <w:drawing>
          <wp:anchor distT="0" distB="0" distL="114300" distR="114300" simplePos="0" relativeHeight="251658240" behindDoc="1" locked="0" layoutInCell="1" allowOverlap="1" wp14:anchorId="5B792889" wp14:editId="3122F371">
            <wp:simplePos x="0" y="0"/>
            <wp:positionH relativeFrom="column">
              <wp:posOffset>3108960</wp:posOffset>
            </wp:positionH>
            <wp:positionV relativeFrom="paragraph">
              <wp:posOffset>299085</wp:posOffset>
            </wp:positionV>
            <wp:extent cx="2808605" cy="2764790"/>
            <wp:effectExtent l="0" t="0" r="10795" b="16510"/>
            <wp:wrapTight wrapText="bothSides">
              <wp:wrapPolygon edited="0">
                <wp:start x="0" y="0"/>
                <wp:lineTo x="0" y="21580"/>
                <wp:lineTo x="21537" y="21580"/>
                <wp:lineTo x="21537" y="0"/>
                <wp:lineTo x="0" y="0"/>
              </wp:wrapPolygon>
            </wp:wrapTight>
            <wp:docPr id="1246545356" name="Chart 2">
              <a:extLst xmlns:a="http://schemas.openxmlformats.org/drawingml/2006/main">
                <a:ext uri="{FF2B5EF4-FFF2-40B4-BE49-F238E27FC236}">
                  <a16:creationId xmlns:a16="http://schemas.microsoft.com/office/drawing/2014/main" id="{76CE2347-415B-8F96-8106-CE573F052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E3A5005" w14:textId="150063C6" w:rsidR="005062AF" w:rsidRPr="00255B8B" w:rsidRDefault="005062AF" w:rsidP="00255B8B">
      <w:pPr>
        <w:rPr>
          <w:sz w:val="16"/>
          <w:szCs w:val="16"/>
        </w:rPr>
      </w:pPr>
      <w:r w:rsidRPr="00255B8B">
        <w:rPr>
          <w:noProof/>
          <w:sz w:val="16"/>
          <w:szCs w:val="16"/>
        </w:rPr>
        <w:drawing>
          <wp:anchor distT="0" distB="0" distL="114300" distR="114300" simplePos="0" relativeHeight="251659264" behindDoc="1" locked="0" layoutInCell="1" allowOverlap="1" wp14:anchorId="72AC4924" wp14:editId="2860B04F">
            <wp:simplePos x="0" y="0"/>
            <wp:positionH relativeFrom="page">
              <wp:posOffset>950494</wp:posOffset>
            </wp:positionH>
            <wp:positionV relativeFrom="paragraph">
              <wp:posOffset>3683</wp:posOffset>
            </wp:positionV>
            <wp:extent cx="2698750" cy="2743200"/>
            <wp:effectExtent l="0" t="0" r="6350" b="0"/>
            <wp:wrapTight wrapText="bothSides">
              <wp:wrapPolygon edited="0">
                <wp:start x="0" y="0"/>
                <wp:lineTo x="0" y="21450"/>
                <wp:lineTo x="21498" y="21450"/>
                <wp:lineTo x="21498" y="0"/>
                <wp:lineTo x="0" y="0"/>
              </wp:wrapPolygon>
            </wp:wrapTight>
            <wp:docPr id="405360490" name="Chart 1">
              <a:extLst xmlns:a="http://schemas.openxmlformats.org/drawingml/2006/main">
                <a:ext uri="{FF2B5EF4-FFF2-40B4-BE49-F238E27FC236}">
                  <a16:creationId xmlns:a16="http://schemas.microsoft.com/office/drawing/2014/main" id="{44728CE0-37BD-7D67-5E2C-92664916C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Pr="00255B8B">
        <w:rPr>
          <w:sz w:val="16"/>
          <w:szCs w:val="16"/>
        </w:rPr>
        <w:t xml:space="preserve">Source: Knight Frank Research </w:t>
      </w:r>
    </w:p>
    <w:p w14:paraId="4D57242D" w14:textId="77777777" w:rsidR="005062AF" w:rsidRDefault="005062AF" w:rsidP="00DB377F">
      <w:pPr>
        <w:jc w:val="center"/>
        <w:rPr>
          <w:rFonts w:ascii="Segoe UI" w:hAnsi="Segoe UI" w:cs="Segoe UI"/>
          <w:b/>
          <w:bCs/>
          <w:color w:val="374151"/>
          <w:shd w:val="clear" w:color="auto" w:fill="F7F7F8"/>
        </w:rPr>
      </w:pPr>
    </w:p>
    <w:p w14:paraId="449906FE" w14:textId="7DC0179F" w:rsidR="005062AF" w:rsidRPr="005062AF" w:rsidRDefault="005062AF" w:rsidP="00DB377F">
      <w:pPr>
        <w:jc w:val="center"/>
        <w:rPr>
          <w:sz w:val="18"/>
          <w:szCs w:val="18"/>
        </w:rPr>
      </w:pPr>
      <w:r w:rsidRPr="00DB377F">
        <w:rPr>
          <w:rFonts w:ascii="Segoe UI" w:hAnsi="Segoe UI" w:cs="Segoe UI"/>
          <w:b/>
          <w:bCs/>
          <w:color w:val="374151"/>
          <w:shd w:val="clear" w:color="auto" w:fill="F7F7F8"/>
        </w:rPr>
        <w:t>City-wise Ticket Size Demand Analysis</w:t>
      </w:r>
      <w:r w:rsidRPr="00DB377F">
        <w:rPr>
          <w:b/>
          <w:bCs/>
        </w:rPr>
        <w:t xml:space="preserve"> </w:t>
      </w:r>
      <w:r>
        <w:rPr>
          <w:b/>
          <w:bCs/>
        </w:rPr>
        <w:t>(Q3 2023)</w:t>
      </w:r>
    </w:p>
    <w:tbl>
      <w:tblPr>
        <w:tblW w:w="8348" w:type="dxa"/>
        <w:jc w:val="center"/>
        <w:tblLayout w:type="fixed"/>
        <w:tblLook w:val="04A0" w:firstRow="1" w:lastRow="0" w:firstColumn="1" w:lastColumn="0" w:noHBand="0" w:noVBand="1"/>
      </w:tblPr>
      <w:tblGrid>
        <w:gridCol w:w="1528"/>
        <w:gridCol w:w="1460"/>
        <w:gridCol w:w="1312"/>
        <w:gridCol w:w="1308"/>
        <w:gridCol w:w="1212"/>
        <w:gridCol w:w="1528"/>
      </w:tblGrid>
      <w:tr w:rsidR="009701AB" w14:paraId="5AC6D3CC" w14:textId="77777777">
        <w:trPr>
          <w:trHeight w:val="300"/>
          <w:jc w:val="center"/>
        </w:trPr>
        <w:tc>
          <w:tcPr>
            <w:tcW w:w="2988" w:type="dxa"/>
            <w:gridSpan w:val="2"/>
            <w:tcBorders>
              <w:top w:val="single" w:sz="4" w:space="0" w:color="auto"/>
              <w:left w:val="single" w:sz="4" w:space="0" w:color="auto"/>
              <w:bottom w:val="single" w:sz="4" w:space="0" w:color="auto"/>
              <w:right w:val="single" w:sz="4" w:space="0" w:color="auto"/>
            </w:tcBorders>
            <w:shd w:val="clear" w:color="000000" w:fill="C00000"/>
            <w:noWrap/>
            <w:vAlign w:val="center"/>
          </w:tcPr>
          <w:p w14:paraId="17BB90DE" w14:textId="77777777" w:rsidR="009701AB" w:rsidRDefault="002906FF">
            <w:pPr>
              <w:spacing w:after="0" w:line="240" w:lineRule="auto"/>
              <w:jc w:val="center"/>
              <w:rPr>
                <w:rFonts w:ascii="Calibri" w:eastAsia="Times New Roman" w:hAnsi="Calibri" w:cs="Calibri"/>
                <w:b/>
                <w:bCs/>
                <w:color w:val="FFFFFF"/>
                <w:sz w:val="20"/>
                <w:szCs w:val="20"/>
                <w:lang w:eastAsia="en-IN"/>
              </w:rPr>
            </w:pPr>
            <w:r>
              <w:rPr>
                <w:rFonts w:ascii="Calibri" w:eastAsia="Times New Roman" w:hAnsi="Calibri" w:cs="Calibri"/>
                <w:b/>
                <w:bCs/>
                <w:color w:val="FFFFFF"/>
                <w:sz w:val="20"/>
                <w:szCs w:val="20"/>
                <w:lang w:eastAsia="en-IN"/>
              </w:rPr>
              <w:t>&lt;5 mn</w:t>
            </w:r>
          </w:p>
        </w:tc>
        <w:tc>
          <w:tcPr>
            <w:tcW w:w="2620" w:type="dxa"/>
            <w:gridSpan w:val="2"/>
            <w:tcBorders>
              <w:top w:val="single" w:sz="4" w:space="0" w:color="auto"/>
              <w:left w:val="nil"/>
              <w:bottom w:val="single" w:sz="4" w:space="0" w:color="auto"/>
              <w:right w:val="single" w:sz="4" w:space="0" w:color="auto"/>
            </w:tcBorders>
            <w:shd w:val="clear" w:color="000000" w:fill="C00000"/>
            <w:noWrap/>
            <w:vAlign w:val="center"/>
          </w:tcPr>
          <w:p w14:paraId="11B14DBF" w14:textId="77777777" w:rsidR="009701AB" w:rsidRDefault="002906FF">
            <w:pPr>
              <w:spacing w:after="0" w:line="240" w:lineRule="auto"/>
              <w:jc w:val="center"/>
              <w:rPr>
                <w:rFonts w:ascii="Calibri" w:eastAsia="Times New Roman" w:hAnsi="Calibri" w:cs="Calibri"/>
                <w:b/>
                <w:bCs/>
                <w:color w:val="FFFFFF"/>
                <w:sz w:val="20"/>
                <w:szCs w:val="20"/>
                <w:lang w:eastAsia="en-IN"/>
              </w:rPr>
            </w:pPr>
            <w:r>
              <w:rPr>
                <w:rFonts w:ascii="Calibri" w:eastAsia="Times New Roman" w:hAnsi="Calibri" w:cs="Calibri"/>
                <w:b/>
                <w:bCs/>
                <w:color w:val="FFFFFF"/>
                <w:sz w:val="20"/>
                <w:szCs w:val="20"/>
                <w:lang w:eastAsia="en-IN"/>
              </w:rPr>
              <w:t>5-10 mn</w:t>
            </w:r>
          </w:p>
        </w:tc>
        <w:tc>
          <w:tcPr>
            <w:tcW w:w="2740" w:type="dxa"/>
            <w:gridSpan w:val="2"/>
            <w:tcBorders>
              <w:top w:val="single" w:sz="4" w:space="0" w:color="auto"/>
              <w:left w:val="nil"/>
              <w:bottom w:val="single" w:sz="4" w:space="0" w:color="auto"/>
              <w:right w:val="single" w:sz="4" w:space="0" w:color="auto"/>
            </w:tcBorders>
            <w:shd w:val="clear" w:color="000000" w:fill="C00000"/>
            <w:noWrap/>
            <w:vAlign w:val="center"/>
          </w:tcPr>
          <w:p w14:paraId="5A005B99" w14:textId="77777777" w:rsidR="009701AB" w:rsidRDefault="002906FF">
            <w:pPr>
              <w:spacing w:after="0" w:line="240" w:lineRule="auto"/>
              <w:jc w:val="center"/>
              <w:rPr>
                <w:rFonts w:ascii="Calibri" w:eastAsia="Times New Roman" w:hAnsi="Calibri" w:cs="Calibri"/>
                <w:b/>
                <w:bCs/>
                <w:color w:val="FFFFFF"/>
                <w:sz w:val="20"/>
                <w:szCs w:val="20"/>
                <w:lang w:eastAsia="en-IN"/>
              </w:rPr>
            </w:pPr>
            <w:r>
              <w:rPr>
                <w:rFonts w:ascii="Calibri" w:eastAsia="Times New Roman" w:hAnsi="Calibri" w:cs="Calibri"/>
                <w:b/>
                <w:bCs/>
                <w:color w:val="FFFFFF"/>
                <w:sz w:val="20"/>
                <w:szCs w:val="20"/>
                <w:lang w:eastAsia="en-IN"/>
              </w:rPr>
              <w:t>10 mn&gt;</w:t>
            </w:r>
          </w:p>
        </w:tc>
      </w:tr>
      <w:tr w:rsidR="009701AB" w14:paraId="6A92C428" w14:textId="77777777">
        <w:trPr>
          <w:trHeight w:val="380"/>
          <w:jc w:val="center"/>
        </w:trPr>
        <w:tc>
          <w:tcPr>
            <w:tcW w:w="1528" w:type="dxa"/>
            <w:tcBorders>
              <w:top w:val="nil"/>
              <w:left w:val="single" w:sz="4" w:space="0" w:color="auto"/>
              <w:bottom w:val="single" w:sz="4" w:space="0" w:color="auto"/>
              <w:right w:val="single" w:sz="4" w:space="0" w:color="auto"/>
            </w:tcBorders>
            <w:shd w:val="clear" w:color="000000" w:fill="C00000"/>
            <w:noWrap/>
            <w:vAlign w:val="center"/>
          </w:tcPr>
          <w:p w14:paraId="18B8236F" w14:textId="77777777" w:rsidR="009701AB" w:rsidRDefault="002906FF">
            <w:pPr>
              <w:spacing w:after="0" w:line="240" w:lineRule="auto"/>
              <w:jc w:val="center"/>
              <w:rPr>
                <w:rFonts w:ascii="Calibri" w:eastAsia="Times New Roman" w:hAnsi="Calibri" w:cs="Calibri"/>
                <w:b/>
                <w:bCs/>
                <w:color w:val="FFFFFF"/>
                <w:sz w:val="20"/>
                <w:szCs w:val="20"/>
                <w:lang w:eastAsia="en-IN"/>
              </w:rPr>
            </w:pPr>
            <w:r>
              <w:rPr>
                <w:rFonts w:ascii="Calibri" w:eastAsia="Times New Roman" w:hAnsi="Calibri" w:cs="Calibri"/>
                <w:b/>
                <w:bCs/>
                <w:color w:val="FFFFFF"/>
                <w:sz w:val="20"/>
                <w:szCs w:val="20"/>
                <w:lang w:eastAsia="en-IN"/>
              </w:rPr>
              <w:t>City</w:t>
            </w:r>
          </w:p>
        </w:tc>
        <w:tc>
          <w:tcPr>
            <w:tcW w:w="1460" w:type="dxa"/>
            <w:tcBorders>
              <w:top w:val="nil"/>
              <w:left w:val="nil"/>
              <w:bottom w:val="single" w:sz="4" w:space="0" w:color="auto"/>
              <w:right w:val="single" w:sz="4" w:space="0" w:color="auto"/>
            </w:tcBorders>
            <w:shd w:val="clear" w:color="000000" w:fill="C00000"/>
            <w:noWrap/>
            <w:vAlign w:val="center"/>
          </w:tcPr>
          <w:p w14:paraId="6B34297F" w14:textId="41DBF579" w:rsidR="009701AB" w:rsidRDefault="002906FF">
            <w:pPr>
              <w:spacing w:after="0" w:line="240" w:lineRule="auto"/>
              <w:jc w:val="center"/>
              <w:rPr>
                <w:rFonts w:ascii="Calibri" w:eastAsia="Times New Roman" w:hAnsi="Calibri" w:cs="Calibri"/>
                <w:b/>
                <w:bCs/>
                <w:color w:val="FFFFFF"/>
                <w:sz w:val="20"/>
                <w:szCs w:val="20"/>
                <w:lang w:val="en-US" w:eastAsia="en-IN"/>
              </w:rPr>
            </w:pPr>
            <w:r>
              <w:rPr>
                <w:rFonts w:ascii="Calibri" w:eastAsia="Times New Roman" w:hAnsi="Calibri" w:cs="Calibri"/>
                <w:b/>
                <w:bCs/>
                <w:color w:val="FFFFFF"/>
                <w:sz w:val="20"/>
                <w:szCs w:val="20"/>
                <w:lang w:eastAsia="en-IN"/>
              </w:rPr>
              <w:t>Sales</w:t>
            </w:r>
            <w:r>
              <w:rPr>
                <w:rFonts w:ascii="Calibri" w:eastAsia="Times New Roman" w:hAnsi="Calibri" w:cs="Calibri"/>
                <w:b/>
                <w:bCs/>
                <w:color w:val="FFFFFF"/>
                <w:sz w:val="20"/>
                <w:szCs w:val="20"/>
                <w:lang w:val="en-US" w:eastAsia="en-IN"/>
              </w:rPr>
              <w:t xml:space="preserve"> in </w:t>
            </w:r>
            <w:r w:rsidR="00DB377F">
              <w:rPr>
                <w:rFonts w:ascii="Calibri" w:eastAsia="Times New Roman" w:hAnsi="Calibri" w:cs="Calibri"/>
                <w:b/>
                <w:bCs/>
                <w:color w:val="FFFFFF"/>
                <w:sz w:val="20"/>
                <w:szCs w:val="20"/>
                <w:lang w:val="en-US" w:eastAsia="en-IN"/>
              </w:rPr>
              <w:t>units</w:t>
            </w:r>
          </w:p>
        </w:tc>
        <w:tc>
          <w:tcPr>
            <w:tcW w:w="1312" w:type="dxa"/>
            <w:tcBorders>
              <w:top w:val="nil"/>
              <w:left w:val="nil"/>
              <w:bottom w:val="single" w:sz="4" w:space="0" w:color="auto"/>
              <w:right w:val="single" w:sz="4" w:space="0" w:color="auto"/>
            </w:tcBorders>
            <w:shd w:val="clear" w:color="000000" w:fill="C00000"/>
            <w:noWrap/>
            <w:vAlign w:val="center"/>
          </w:tcPr>
          <w:p w14:paraId="4B28D49D" w14:textId="77777777" w:rsidR="009701AB" w:rsidRDefault="002906FF">
            <w:pPr>
              <w:spacing w:after="0" w:line="240" w:lineRule="auto"/>
              <w:jc w:val="center"/>
              <w:rPr>
                <w:rFonts w:ascii="Calibri" w:eastAsia="Times New Roman" w:hAnsi="Calibri" w:cs="Calibri"/>
                <w:b/>
                <w:bCs/>
                <w:color w:val="FFFFFF"/>
                <w:sz w:val="20"/>
                <w:szCs w:val="20"/>
                <w:lang w:eastAsia="en-IN"/>
              </w:rPr>
            </w:pPr>
            <w:r>
              <w:rPr>
                <w:rFonts w:ascii="Calibri" w:eastAsia="Times New Roman" w:hAnsi="Calibri" w:cs="Calibri"/>
                <w:b/>
                <w:bCs/>
                <w:color w:val="FFFFFF"/>
                <w:sz w:val="20"/>
                <w:szCs w:val="20"/>
                <w:lang w:eastAsia="en-IN"/>
              </w:rPr>
              <w:t>City</w:t>
            </w:r>
          </w:p>
        </w:tc>
        <w:tc>
          <w:tcPr>
            <w:tcW w:w="1308" w:type="dxa"/>
            <w:tcBorders>
              <w:top w:val="nil"/>
              <w:left w:val="nil"/>
              <w:bottom w:val="single" w:sz="4" w:space="0" w:color="auto"/>
              <w:right w:val="single" w:sz="4" w:space="0" w:color="auto"/>
            </w:tcBorders>
            <w:shd w:val="clear" w:color="000000" w:fill="C00000"/>
            <w:noWrap/>
            <w:vAlign w:val="center"/>
          </w:tcPr>
          <w:p w14:paraId="78715F07" w14:textId="2E650BC8" w:rsidR="009701AB" w:rsidRDefault="002906FF">
            <w:pPr>
              <w:spacing w:after="0" w:line="240" w:lineRule="auto"/>
              <w:jc w:val="center"/>
              <w:rPr>
                <w:rFonts w:ascii="Calibri" w:eastAsia="Times New Roman" w:hAnsi="Calibri" w:cs="Calibri"/>
                <w:b/>
                <w:bCs/>
                <w:color w:val="FFFFFF"/>
                <w:sz w:val="20"/>
                <w:szCs w:val="20"/>
                <w:lang w:val="en-US" w:eastAsia="en-IN"/>
              </w:rPr>
            </w:pPr>
            <w:r>
              <w:rPr>
                <w:rFonts w:ascii="Calibri" w:eastAsia="Times New Roman" w:hAnsi="Calibri" w:cs="Calibri"/>
                <w:b/>
                <w:bCs/>
                <w:color w:val="FFFFFF"/>
                <w:sz w:val="20"/>
                <w:szCs w:val="20"/>
                <w:lang w:eastAsia="en-IN"/>
              </w:rPr>
              <w:t>Sales</w:t>
            </w:r>
            <w:r>
              <w:rPr>
                <w:rFonts w:ascii="Calibri" w:eastAsia="Times New Roman" w:hAnsi="Calibri" w:cs="Calibri"/>
                <w:b/>
                <w:bCs/>
                <w:color w:val="FFFFFF"/>
                <w:sz w:val="20"/>
                <w:szCs w:val="20"/>
                <w:lang w:val="en-US" w:eastAsia="en-IN"/>
              </w:rPr>
              <w:t xml:space="preserve"> in </w:t>
            </w:r>
            <w:r w:rsidR="00DB377F">
              <w:rPr>
                <w:rFonts w:ascii="Calibri" w:eastAsia="Times New Roman" w:hAnsi="Calibri" w:cs="Calibri"/>
                <w:b/>
                <w:bCs/>
                <w:color w:val="FFFFFF"/>
                <w:sz w:val="20"/>
                <w:szCs w:val="20"/>
                <w:lang w:val="en-US" w:eastAsia="en-IN"/>
              </w:rPr>
              <w:t>units</w:t>
            </w:r>
          </w:p>
        </w:tc>
        <w:tc>
          <w:tcPr>
            <w:tcW w:w="1212" w:type="dxa"/>
            <w:tcBorders>
              <w:top w:val="nil"/>
              <w:left w:val="nil"/>
              <w:bottom w:val="single" w:sz="4" w:space="0" w:color="auto"/>
              <w:right w:val="single" w:sz="4" w:space="0" w:color="auto"/>
            </w:tcBorders>
            <w:shd w:val="clear" w:color="000000" w:fill="C00000"/>
            <w:noWrap/>
            <w:vAlign w:val="center"/>
          </w:tcPr>
          <w:p w14:paraId="30578123" w14:textId="77777777" w:rsidR="009701AB" w:rsidRDefault="002906FF">
            <w:pPr>
              <w:spacing w:after="0" w:line="240" w:lineRule="auto"/>
              <w:jc w:val="center"/>
              <w:rPr>
                <w:rFonts w:ascii="Calibri" w:eastAsia="Times New Roman" w:hAnsi="Calibri" w:cs="Calibri"/>
                <w:b/>
                <w:bCs/>
                <w:color w:val="FFFFFF"/>
                <w:sz w:val="20"/>
                <w:szCs w:val="20"/>
                <w:lang w:eastAsia="en-IN"/>
              </w:rPr>
            </w:pPr>
            <w:r>
              <w:rPr>
                <w:rFonts w:ascii="Calibri" w:eastAsia="Times New Roman" w:hAnsi="Calibri" w:cs="Calibri"/>
                <w:b/>
                <w:bCs/>
                <w:color w:val="FFFFFF"/>
                <w:sz w:val="20"/>
                <w:szCs w:val="20"/>
                <w:lang w:eastAsia="en-IN"/>
              </w:rPr>
              <w:t>City</w:t>
            </w:r>
          </w:p>
        </w:tc>
        <w:tc>
          <w:tcPr>
            <w:tcW w:w="1528" w:type="dxa"/>
            <w:tcBorders>
              <w:top w:val="nil"/>
              <w:left w:val="nil"/>
              <w:bottom w:val="single" w:sz="4" w:space="0" w:color="auto"/>
              <w:right w:val="single" w:sz="4" w:space="0" w:color="auto"/>
            </w:tcBorders>
            <w:shd w:val="clear" w:color="000000" w:fill="C00000"/>
            <w:noWrap/>
            <w:vAlign w:val="center"/>
          </w:tcPr>
          <w:p w14:paraId="2801DD47" w14:textId="77777777" w:rsidR="009701AB" w:rsidRDefault="002906FF">
            <w:pPr>
              <w:spacing w:after="0" w:line="240" w:lineRule="auto"/>
              <w:jc w:val="center"/>
              <w:rPr>
                <w:rFonts w:ascii="Calibri" w:eastAsia="Times New Roman" w:hAnsi="Calibri" w:cs="Calibri"/>
                <w:b/>
                <w:bCs/>
                <w:color w:val="FFFFFF"/>
                <w:sz w:val="20"/>
                <w:szCs w:val="20"/>
                <w:lang w:val="en-US" w:eastAsia="en-IN"/>
              </w:rPr>
            </w:pPr>
            <w:r>
              <w:rPr>
                <w:rFonts w:ascii="Calibri" w:eastAsia="Times New Roman" w:hAnsi="Calibri" w:cs="Calibri"/>
                <w:b/>
                <w:bCs/>
                <w:color w:val="FFFFFF"/>
                <w:sz w:val="20"/>
                <w:szCs w:val="20"/>
                <w:lang w:eastAsia="en-IN"/>
              </w:rPr>
              <w:t>Sales</w:t>
            </w:r>
            <w:r>
              <w:rPr>
                <w:rFonts w:ascii="Calibri" w:eastAsia="Times New Roman" w:hAnsi="Calibri" w:cs="Calibri"/>
                <w:b/>
                <w:bCs/>
                <w:color w:val="FFFFFF"/>
                <w:sz w:val="20"/>
                <w:szCs w:val="20"/>
                <w:lang w:val="en-US" w:eastAsia="en-IN"/>
              </w:rPr>
              <w:t xml:space="preserve"> in units</w:t>
            </w:r>
          </w:p>
        </w:tc>
      </w:tr>
      <w:tr w:rsidR="009701AB" w14:paraId="55CE0003" w14:textId="77777777">
        <w:trPr>
          <w:trHeight w:val="30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14:paraId="1B7C2ACB"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Mumbai</w:t>
            </w:r>
          </w:p>
        </w:tc>
        <w:tc>
          <w:tcPr>
            <w:tcW w:w="1460" w:type="dxa"/>
            <w:tcBorders>
              <w:top w:val="nil"/>
              <w:left w:val="nil"/>
              <w:bottom w:val="single" w:sz="4" w:space="0" w:color="auto"/>
              <w:right w:val="single" w:sz="4" w:space="0" w:color="auto"/>
            </w:tcBorders>
            <w:shd w:val="clear" w:color="auto" w:fill="auto"/>
            <w:noWrap/>
            <w:vAlign w:val="center"/>
          </w:tcPr>
          <w:p w14:paraId="058275AE"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9,930</w:t>
            </w:r>
          </w:p>
        </w:tc>
        <w:tc>
          <w:tcPr>
            <w:tcW w:w="1312" w:type="dxa"/>
            <w:tcBorders>
              <w:top w:val="nil"/>
              <w:left w:val="nil"/>
              <w:bottom w:val="single" w:sz="4" w:space="0" w:color="auto"/>
              <w:right w:val="single" w:sz="4" w:space="0" w:color="auto"/>
            </w:tcBorders>
            <w:shd w:val="clear" w:color="auto" w:fill="auto"/>
            <w:noWrap/>
            <w:vAlign w:val="center"/>
          </w:tcPr>
          <w:p w14:paraId="78E95612" w14:textId="77777777" w:rsidR="009701AB" w:rsidRDefault="00D641D7">
            <w:pPr>
              <w:spacing w:after="0" w:line="240" w:lineRule="auto"/>
              <w:rPr>
                <w:rFonts w:ascii="Calibri" w:eastAsia="Times New Roman" w:hAnsi="Calibri" w:cs="Calibri"/>
                <w:color w:val="000000"/>
                <w:sz w:val="20"/>
                <w:szCs w:val="20"/>
                <w:lang w:val="en-US" w:eastAsia="en-IN"/>
              </w:rPr>
            </w:pPr>
            <w:r>
              <w:rPr>
                <w:rFonts w:ascii="Calibri" w:eastAsia="Times New Roman" w:hAnsi="Calibri" w:cs="Calibri"/>
                <w:color w:val="000000"/>
                <w:sz w:val="20"/>
                <w:szCs w:val="20"/>
                <w:lang w:val="en-US" w:eastAsia="en-IN"/>
              </w:rPr>
              <w:t>Bengaluru</w:t>
            </w:r>
          </w:p>
        </w:tc>
        <w:tc>
          <w:tcPr>
            <w:tcW w:w="1308" w:type="dxa"/>
            <w:tcBorders>
              <w:top w:val="nil"/>
              <w:left w:val="nil"/>
              <w:bottom w:val="single" w:sz="4" w:space="0" w:color="auto"/>
              <w:right w:val="single" w:sz="4" w:space="0" w:color="auto"/>
            </w:tcBorders>
            <w:shd w:val="clear" w:color="auto" w:fill="auto"/>
            <w:noWrap/>
            <w:vAlign w:val="center"/>
          </w:tcPr>
          <w:p w14:paraId="2A97E3C8"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6,879</w:t>
            </w:r>
          </w:p>
        </w:tc>
        <w:tc>
          <w:tcPr>
            <w:tcW w:w="1212" w:type="dxa"/>
            <w:tcBorders>
              <w:top w:val="nil"/>
              <w:left w:val="nil"/>
              <w:bottom w:val="single" w:sz="4" w:space="0" w:color="auto"/>
              <w:right w:val="single" w:sz="4" w:space="0" w:color="auto"/>
            </w:tcBorders>
            <w:shd w:val="clear" w:color="auto" w:fill="auto"/>
            <w:noWrap/>
            <w:vAlign w:val="center"/>
          </w:tcPr>
          <w:p w14:paraId="200A3139"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NCR</w:t>
            </w:r>
          </w:p>
        </w:tc>
        <w:tc>
          <w:tcPr>
            <w:tcW w:w="1528" w:type="dxa"/>
            <w:tcBorders>
              <w:top w:val="nil"/>
              <w:left w:val="nil"/>
              <w:bottom w:val="single" w:sz="4" w:space="0" w:color="auto"/>
              <w:right w:val="single" w:sz="4" w:space="0" w:color="auto"/>
            </w:tcBorders>
            <w:shd w:val="clear" w:color="auto" w:fill="auto"/>
            <w:noWrap/>
            <w:vAlign w:val="center"/>
          </w:tcPr>
          <w:p w14:paraId="420F08B6"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8,075</w:t>
            </w:r>
          </w:p>
        </w:tc>
      </w:tr>
      <w:tr w:rsidR="009701AB" w14:paraId="1B4DD5A8" w14:textId="77777777">
        <w:trPr>
          <w:trHeight w:val="30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14:paraId="5AE36162"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Pune</w:t>
            </w:r>
          </w:p>
        </w:tc>
        <w:tc>
          <w:tcPr>
            <w:tcW w:w="1460" w:type="dxa"/>
            <w:tcBorders>
              <w:top w:val="nil"/>
              <w:left w:val="nil"/>
              <w:bottom w:val="single" w:sz="4" w:space="0" w:color="auto"/>
              <w:right w:val="single" w:sz="4" w:space="0" w:color="auto"/>
            </w:tcBorders>
            <w:shd w:val="clear" w:color="auto" w:fill="auto"/>
            <w:noWrap/>
            <w:vAlign w:val="center"/>
          </w:tcPr>
          <w:p w14:paraId="601BD4D3"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4,688</w:t>
            </w:r>
          </w:p>
        </w:tc>
        <w:tc>
          <w:tcPr>
            <w:tcW w:w="1312" w:type="dxa"/>
            <w:tcBorders>
              <w:top w:val="nil"/>
              <w:left w:val="nil"/>
              <w:bottom w:val="single" w:sz="4" w:space="0" w:color="auto"/>
              <w:right w:val="single" w:sz="4" w:space="0" w:color="auto"/>
            </w:tcBorders>
            <w:shd w:val="clear" w:color="auto" w:fill="auto"/>
            <w:noWrap/>
            <w:vAlign w:val="center"/>
          </w:tcPr>
          <w:p w14:paraId="26C095E5"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Pune</w:t>
            </w:r>
          </w:p>
        </w:tc>
        <w:tc>
          <w:tcPr>
            <w:tcW w:w="1308" w:type="dxa"/>
            <w:tcBorders>
              <w:top w:val="nil"/>
              <w:left w:val="nil"/>
              <w:bottom w:val="single" w:sz="4" w:space="0" w:color="auto"/>
              <w:right w:val="single" w:sz="4" w:space="0" w:color="auto"/>
            </w:tcBorders>
            <w:shd w:val="clear" w:color="auto" w:fill="auto"/>
            <w:noWrap/>
            <w:vAlign w:val="center"/>
          </w:tcPr>
          <w:p w14:paraId="4543339B"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6,086</w:t>
            </w:r>
          </w:p>
        </w:tc>
        <w:tc>
          <w:tcPr>
            <w:tcW w:w="1212" w:type="dxa"/>
            <w:tcBorders>
              <w:top w:val="nil"/>
              <w:left w:val="nil"/>
              <w:bottom w:val="single" w:sz="4" w:space="0" w:color="auto"/>
              <w:right w:val="single" w:sz="4" w:space="0" w:color="auto"/>
            </w:tcBorders>
            <w:shd w:val="clear" w:color="auto" w:fill="auto"/>
            <w:noWrap/>
            <w:vAlign w:val="center"/>
          </w:tcPr>
          <w:p w14:paraId="3E1F8ABD"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Mumbai</w:t>
            </w:r>
          </w:p>
        </w:tc>
        <w:tc>
          <w:tcPr>
            <w:tcW w:w="1528" w:type="dxa"/>
            <w:tcBorders>
              <w:top w:val="nil"/>
              <w:left w:val="nil"/>
              <w:bottom w:val="single" w:sz="4" w:space="0" w:color="auto"/>
              <w:right w:val="single" w:sz="4" w:space="0" w:color="auto"/>
            </w:tcBorders>
            <w:shd w:val="clear" w:color="auto" w:fill="auto"/>
            <w:noWrap/>
            <w:vAlign w:val="center"/>
          </w:tcPr>
          <w:p w14:paraId="5B1A4ECC"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7,018</w:t>
            </w:r>
          </w:p>
        </w:tc>
      </w:tr>
      <w:tr w:rsidR="009701AB" w14:paraId="1B122153" w14:textId="77777777">
        <w:trPr>
          <w:trHeight w:val="30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14:paraId="140A56F1"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NCR</w:t>
            </w:r>
          </w:p>
        </w:tc>
        <w:tc>
          <w:tcPr>
            <w:tcW w:w="1460" w:type="dxa"/>
            <w:tcBorders>
              <w:top w:val="nil"/>
              <w:left w:val="nil"/>
              <w:bottom w:val="single" w:sz="4" w:space="0" w:color="auto"/>
              <w:right w:val="single" w:sz="4" w:space="0" w:color="auto"/>
            </w:tcBorders>
            <w:shd w:val="clear" w:color="auto" w:fill="auto"/>
            <w:noWrap/>
            <w:vAlign w:val="center"/>
          </w:tcPr>
          <w:p w14:paraId="6BB604E9"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2,086</w:t>
            </w:r>
          </w:p>
        </w:tc>
        <w:tc>
          <w:tcPr>
            <w:tcW w:w="1312" w:type="dxa"/>
            <w:tcBorders>
              <w:top w:val="nil"/>
              <w:left w:val="nil"/>
              <w:bottom w:val="single" w:sz="4" w:space="0" w:color="auto"/>
              <w:right w:val="single" w:sz="4" w:space="0" w:color="auto"/>
            </w:tcBorders>
            <w:shd w:val="clear" w:color="auto" w:fill="auto"/>
            <w:noWrap/>
            <w:vAlign w:val="center"/>
          </w:tcPr>
          <w:p w14:paraId="40E742AD"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Mumbai</w:t>
            </w:r>
          </w:p>
        </w:tc>
        <w:tc>
          <w:tcPr>
            <w:tcW w:w="1308" w:type="dxa"/>
            <w:tcBorders>
              <w:top w:val="nil"/>
              <w:left w:val="nil"/>
              <w:bottom w:val="single" w:sz="4" w:space="0" w:color="auto"/>
              <w:right w:val="single" w:sz="4" w:space="0" w:color="auto"/>
            </w:tcBorders>
            <w:shd w:val="clear" w:color="auto" w:fill="auto"/>
            <w:noWrap/>
            <w:vAlign w:val="center"/>
          </w:tcPr>
          <w:p w14:paraId="02F5AD36"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5,360</w:t>
            </w:r>
          </w:p>
        </w:tc>
        <w:tc>
          <w:tcPr>
            <w:tcW w:w="1212" w:type="dxa"/>
            <w:tcBorders>
              <w:top w:val="nil"/>
              <w:left w:val="nil"/>
              <w:bottom w:val="single" w:sz="4" w:space="0" w:color="auto"/>
              <w:right w:val="single" w:sz="4" w:space="0" w:color="auto"/>
            </w:tcBorders>
            <w:shd w:val="clear" w:color="auto" w:fill="auto"/>
            <w:noWrap/>
            <w:vAlign w:val="center"/>
          </w:tcPr>
          <w:p w14:paraId="2602933C" w14:textId="77777777" w:rsidR="009701AB" w:rsidRDefault="002906FF">
            <w:pPr>
              <w:spacing w:after="0" w:line="240" w:lineRule="auto"/>
              <w:rPr>
                <w:rFonts w:ascii="Calibri" w:eastAsia="Times New Roman" w:hAnsi="Calibri" w:cs="Calibri"/>
                <w:color w:val="000000"/>
                <w:sz w:val="20"/>
                <w:szCs w:val="20"/>
                <w:lang w:val="en-US" w:eastAsia="en-IN"/>
              </w:rPr>
            </w:pPr>
            <w:r>
              <w:rPr>
                <w:rFonts w:ascii="Calibri" w:eastAsia="Times New Roman" w:hAnsi="Calibri" w:cs="Calibri"/>
                <w:color w:val="000000"/>
                <w:sz w:val="20"/>
                <w:szCs w:val="20"/>
                <w:lang w:val="en-US" w:eastAsia="en-IN"/>
              </w:rPr>
              <w:t>Bengaluru</w:t>
            </w:r>
          </w:p>
        </w:tc>
        <w:tc>
          <w:tcPr>
            <w:tcW w:w="1528" w:type="dxa"/>
            <w:tcBorders>
              <w:top w:val="nil"/>
              <w:left w:val="nil"/>
              <w:bottom w:val="single" w:sz="4" w:space="0" w:color="auto"/>
              <w:right w:val="single" w:sz="4" w:space="0" w:color="auto"/>
            </w:tcBorders>
            <w:shd w:val="clear" w:color="auto" w:fill="auto"/>
            <w:noWrap/>
            <w:vAlign w:val="center"/>
          </w:tcPr>
          <w:p w14:paraId="4BD73B7E"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4,770</w:t>
            </w:r>
          </w:p>
        </w:tc>
      </w:tr>
      <w:tr w:rsidR="009701AB" w14:paraId="33C2C6B6" w14:textId="77777777">
        <w:trPr>
          <w:trHeight w:val="30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14:paraId="21952ABF"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Ahmedabad</w:t>
            </w:r>
          </w:p>
        </w:tc>
        <w:tc>
          <w:tcPr>
            <w:tcW w:w="1460" w:type="dxa"/>
            <w:tcBorders>
              <w:top w:val="nil"/>
              <w:left w:val="nil"/>
              <w:bottom w:val="single" w:sz="4" w:space="0" w:color="auto"/>
              <w:right w:val="single" w:sz="4" w:space="0" w:color="auto"/>
            </w:tcBorders>
            <w:shd w:val="clear" w:color="auto" w:fill="auto"/>
            <w:noWrap/>
            <w:vAlign w:val="center"/>
          </w:tcPr>
          <w:p w14:paraId="7295A0B3"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2,019</w:t>
            </w:r>
          </w:p>
        </w:tc>
        <w:tc>
          <w:tcPr>
            <w:tcW w:w="1312" w:type="dxa"/>
            <w:tcBorders>
              <w:top w:val="nil"/>
              <w:left w:val="nil"/>
              <w:bottom w:val="single" w:sz="4" w:space="0" w:color="auto"/>
              <w:right w:val="single" w:sz="4" w:space="0" w:color="auto"/>
            </w:tcBorders>
            <w:shd w:val="clear" w:color="auto" w:fill="auto"/>
            <w:noWrap/>
            <w:vAlign w:val="center"/>
          </w:tcPr>
          <w:p w14:paraId="7142DF85"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NCR</w:t>
            </w:r>
          </w:p>
        </w:tc>
        <w:tc>
          <w:tcPr>
            <w:tcW w:w="1308" w:type="dxa"/>
            <w:tcBorders>
              <w:top w:val="nil"/>
              <w:left w:val="nil"/>
              <w:bottom w:val="single" w:sz="4" w:space="0" w:color="auto"/>
              <w:right w:val="single" w:sz="4" w:space="0" w:color="auto"/>
            </w:tcBorders>
            <w:shd w:val="clear" w:color="auto" w:fill="auto"/>
            <w:noWrap/>
            <w:vAlign w:val="center"/>
          </w:tcPr>
          <w:p w14:paraId="2D85F21F"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3,820</w:t>
            </w:r>
          </w:p>
        </w:tc>
        <w:tc>
          <w:tcPr>
            <w:tcW w:w="1212" w:type="dxa"/>
            <w:tcBorders>
              <w:top w:val="nil"/>
              <w:left w:val="nil"/>
              <w:bottom w:val="single" w:sz="4" w:space="0" w:color="auto"/>
              <w:right w:val="single" w:sz="4" w:space="0" w:color="auto"/>
            </w:tcBorders>
            <w:shd w:val="clear" w:color="auto" w:fill="auto"/>
            <w:noWrap/>
            <w:vAlign w:val="center"/>
          </w:tcPr>
          <w:p w14:paraId="06A64C08"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Hyderabad</w:t>
            </w:r>
          </w:p>
        </w:tc>
        <w:tc>
          <w:tcPr>
            <w:tcW w:w="1528" w:type="dxa"/>
            <w:tcBorders>
              <w:top w:val="nil"/>
              <w:left w:val="nil"/>
              <w:bottom w:val="single" w:sz="4" w:space="0" w:color="auto"/>
              <w:right w:val="single" w:sz="4" w:space="0" w:color="auto"/>
            </w:tcBorders>
            <w:shd w:val="clear" w:color="auto" w:fill="auto"/>
            <w:noWrap/>
            <w:vAlign w:val="center"/>
          </w:tcPr>
          <w:p w14:paraId="34BF8E4C"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4,329</w:t>
            </w:r>
          </w:p>
        </w:tc>
      </w:tr>
      <w:tr w:rsidR="009701AB" w14:paraId="04432DEA" w14:textId="77777777">
        <w:trPr>
          <w:trHeight w:val="30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14:paraId="524E0A6F"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Kolkata</w:t>
            </w:r>
          </w:p>
        </w:tc>
        <w:tc>
          <w:tcPr>
            <w:tcW w:w="1460" w:type="dxa"/>
            <w:tcBorders>
              <w:top w:val="nil"/>
              <w:left w:val="nil"/>
              <w:bottom w:val="single" w:sz="4" w:space="0" w:color="auto"/>
              <w:right w:val="single" w:sz="4" w:space="0" w:color="auto"/>
            </w:tcBorders>
            <w:shd w:val="clear" w:color="auto" w:fill="auto"/>
            <w:noWrap/>
            <w:vAlign w:val="center"/>
          </w:tcPr>
          <w:p w14:paraId="16F327C2"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1,603</w:t>
            </w:r>
          </w:p>
        </w:tc>
        <w:tc>
          <w:tcPr>
            <w:tcW w:w="1312" w:type="dxa"/>
            <w:tcBorders>
              <w:top w:val="nil"/>
              <w:left w:val="nil"/>
              <w:bottom w:val="single" w:sz="4" w:space="0" w:color="auto"/>
              <w:right w:val="single" w:sz="4" w:space="0" w:color="auto"/>
            </w:tcBorders>
            <w:shd w:val="clear" w:color="auto" w:fill="auto"/>
            <w:noWrap/>
            <w:vAlign w:val="center"/>
          </w:tcPr>
          <w:p w14:paraId="0948F261"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Hyderabad</w:t>
            </w:r>
          </w:p>
        </w:tc>
        <w:tc>
          <w:tcPr>
            <w:tcW w:w="1308" w:type="dxa"/>
            <w:tcBorders>
              <w:top w:val="nil"/>
              <w:left w:val="nil"/>
              <w:bottom w:val="single" w:sz="4" w:space="0" w:color="auto"/>
              <w:right w:val="single" w:sz="4" w:space="0" w:color="auto"/>
            </w:tcBorders>
            <w:shd w:val="clear" w:color="auto" w:fill="auto"/>
            <w:noWrap/>
            <w:vAlign w:val="center"/>
          </w:tcPr>
          <w:p w14:paraId="4E872FDB"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3,247</w:t>
            </w:r>
          </w:p>
        </w:tc>
        <w:tc>
          <w:tcPr>
            <w:tcW w:w="1212" w:type="dxa"/>
            <w:tcBorders>
              <w:top w:val="nil"/>
              <w:left w:val="nil"/>
              <w:bottom w:val="single" w:sz="4" w:space="0" w:color="auto"/>
              <w:right w:val="single" w:sz="4" w:space="0" w:color="auto"/>
            </w:tcBorders>
            <w:shd w:val="clear" w:color="auto" w:fill="auto"/>
            <w:noWrap/>
            <w:vAlign w:val="center"/>
          </w:tcPr>
          <w:p w14:paraId="3343BC60"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Pune</w:t>
            </w:r>
          </w:p>
        </w:tc>
        <w:tc>
          <w:tcPr>
            <w:tcW w:w="1528" w:type="dxa"/>
            <w:tcBorders>
              <w:top w:val="nil"/>
              <w:left w:val="nil"/>
              <w:bottom w:val="single" w:sz="4" w:space="0" w:color="auto"/>
              <w:right w:val="single" w:sz="4" w:space="0" w:color="auto"/>
            </w:tcBorders>
            <w:shd w:val="clear" w:color="auto" w:fill="auto"/>
            <w:noWrap/>
            <w:vAlign w:val="center"/>
          </w:tcPr>
          <w:p w14:paraId="489E8438"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2,306</w:t>
            </w:r>
          </w:p>
        </w:tc>
      </w:tr>
      <w:tr w:rsidR="009701AB" w14:paraId="57F52B84" w14:textId="77777777">
        <w:trPr>
          <w:trHeight w:val="30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14:paraId="20452E1F"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Chennai</w:t>
            </w:r>
          </w:p>
        </w:tc>
        <w:tc>
          <w:tcPr>
            <w:tcW w:w="1460" w:type="dxa"/>
            <w:tcBorders>
              <w:top w:val="nil"/>
              <w:left w:val="nil"/>
              <w:bottom w:val="single" w:sz="4" w:space="0" w:color="auto"/>
              <w:right w:val="single" w:sz="4" w:space="0" w:color="auto"/>
            </w:tcBorders>
            <w:shd w:val="clear" w:color="auto" w:fill="auto"/>
            <w:noWrap/>
            <w:vAlign w:val="center"/>
          </w:tcPr>
          <w:p w14:paraId="19071303"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1,548</w:t>
            </w:r>
          </w:p>
        </w:tc>
        <w:tc>
          <w:tcPr>
            <w:tcW w:w="1312" w:type="dxa"/>
            <w:tcBorders>
              <w:top w:val="nil"/>
              <w:left w:val="nil"/>
              <w:bottom w:val="single" w:sz="4" w:space="0" w:color="auto"/>
              <w:right w:val="single" w:sz="4" w:space="0" w:color="auto"/>
            </w:tcBorders>
            <w:shd w:val="clear" w:color="auto" w:fill="auto"/>
            <w:noWrap/>
            <w:vAlign w:val="center"/>
          </w:tcPr>
          <w:p w14:paraId="3F7112F6"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Kolkata</w:t>
            </w:r>
          </w:p>
        </w:tc>
        <w:tc>
          <w:tcPr>
            <w:tcW w:w="1308" w:type="dxa"/>
            <w:tcBorders>
              <w:top w:val="nil"/>
              <w:left w:val="nil"/>
              <w:bottom w:val="single" w:sz="4" w:space="0" w:color="auto"/>
              <w:right w:val="single" w:sz="4" w:space="0" w:color="auto"/>
            </w:tcBorders>
            <w:shd w:val="clear" w:color="auto" w:fill="auto"/>
            <w:noWrap/>
            <w:vAlign w:val="center"/>
          </w:tcPr>
          <w:p w14:paraId="6FF13C09"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1,523</w:t>
            </w:r>
          </w:p>
        </w:tc>
        <w:tc>
          <w:tcPr>
            <w:tcW w:w="1212" w:type="dxa"/>
            <w:tcBorders>
              <w:top w:val="nil"/>
              <w:left w:val="nil"/>
              <w:bottom w:val="single" w:sz="4" w:space="0" w:color="auto"/>
              <w:right w:val="single" w:sz="4" w:space="0" w:color="auto"/>
            </w:tcBorders>
            <w:shd w:val="clear" w:color="auto" w:fill="auto"/>
            <w:noWrap/>
            <w:vAlign w:val="center"/>
          </w:tcPr>
          <w:p w14:paraId="149908DA"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Chennai</w:t>
            </w:r>
          </w:p>
        </w:tc>
        <w:tc>
          <w:tcPr>
            <w:tcW w:w="1528" w:type="dxa"/>
            <w:tcBorders>
              <w:top w:val="nil"/>
              <w:left w:val="nil"/>
              <w:bottom w:val="single" w:sz="4" w:space="0" w:color="auto"/>
              <w:right w:val="single" w:sz="4" w:space="0" w:color="auto"/>
            </w:tcBorders>
            <w:shd w:val="clear" w:color="auto" w:fill="auto"/>
            <w:noWrap/>
            <w:vAlign w:val="center"/>
          </w:tcPr>
          <w:p w14:paraId="4DF5561B"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890</w:t>
            </w:r>
          </w:p>
        </w:tc>
      </w:tr>
      <w:tr w:rsidR="009701AB" w14:paraId="7A083FE3" w14:textId="77777777" w:rsidTr="005062AF">
        <w:trPr>
          <w:trHeight w:val="30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14:paraId="73933B65" w14:textId="77777777" w:rsidR="009701AB" w:rsidRDefault="002906FF">
            <w:pPr>
              <w:spacing w:after="0" w:line="240" w:lineRule="auto"/>
              <w:rPr>
                <w:rFonts w:ascii="Calibri" w:eastAsia="Times New Roman" w:hAnsi="Calibri" w:cs="Calibri"/>
                <w:color w:val="000000"/>
                <w:sz w:val="20"/>
                <w:szCs w:val="20"/>
                <w:lang w:val="en-US" w:eastAsia="en-IN"/>
              </w:rPr>
            </w:pPr>
            <w:r>
              <w:rPr>
                <w:rFonts w:ascii="Calibri" w:eastAsia="Times New Roman" w:hAnsi="Calibri" w:cs="Calibri"/>
                <w:color w:val="000000"/>
                <w:sz w:val="20"/>
                <w:szCs w:val="20"/>
                <w:lang w:eastAsia="en-IN"/>
              </w:rPr>
              <w:t>B</w:t>
            </w:r>
            <w:proofErr w:type="spellStart"/>
            <w:r>
              <w:rPr>
                <w:rFonts w:ascii="Calibri" w:eastAsia="Times New Roman" w:hAnsi="Calibri" w:cs="Calibri"/>
                <w:color w:val="000000"/>
                <w:sz w:val="20"/>
                <w:szCs w:val="20"/>
                <w:lang w:val="en-US" w:eastAsia="en-IN"/>
              </w:rPr>
              <w:t>engaluru</w:t>
            </w:r>
            <w:proofErr w:type="spellEnd"/>
          </w:p>
        </w:tc>
        <w:tc>
          <w:tcPr>
            <w:tcW w:w="1460" w:type="dxa"/>
            <w:tcBorders>
              <w:top w:val="nil"/>
              <w:left w:val="nil"/>
              <w:bottom w:val="single" w:sz="4" w:space="0" w:color="auto"/>
              <w:right w:val="single" w:sz="4" w:space="0" w:color="auto"/>
            </w:tcBorders>
            <w:shd w:val="clear" w:color="auto" w:fill="auto"/>
            <w:noWrap/>
            <w:vAlign w:val="center"/>
          </w:tcPr>
          <w:p w14:paraId="725A86BA"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1,520</w:t>
            </w:r>
          </w:p>
        </w:tc>
        <w:tc>
          <w:tcPr>
            <w:tcW w:w="1312" w:type="dxa"/>
            <w:tcBorders>
              <w:top w:val="nil"/>
              <w:left w:val="nil"/>
              <w:bottom w:val="single" w:sz="4" w:space="0" w:color="auto"/>
              <w:right w:val="single" w:sz="4" w:space="0" w:color="auto"/>
            </w:tcBorders>
            <w:shd w:val="clear" w:color="auto" w:fill="auto"/>
            <w:noWrap/>
            <w:vAlign w:val="center"/>
          </w:tcPr>
          <w:p w14:paraId="15EF8349"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Ahmedabad</w:t>
            </w:r>
          </w:p>
        </w:tc>
        <w:tc>
          <w:tcPr>
            <w:tcW w:w="1308" w:type="dxa"/>
            <w:tcBorders>
              <w:top w:val="nil"/>
              <w:left w:val="nil"/>
              <w:bottom w:val="single" w:sz="4" w:space="0" w:color="auto"/>
              <w:right w:val="single" w:sz="4" w:space="0" w:color="auto"/>
            </w:tcBorders>
            <w:shd w:val="clear" w:color="auto" w:fill="auto"/>
            <w:noWrap/>
            <w:vAlign w:val="center"/>
          </w:tcPr>
          <w:p w14:paraId="208C48C9"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1,480</w:t>
            </w:r>
          </w:p>
        </w:tc>
        <w:tc>
          <w:tcPr>
            <w:tcW w:w="1212" w:type="dxa"/>
            <w:tcBorders>
              <w:top w:val="nil"/>
              <w:left w:val="nil"/>
              <w:bottom w:val="single" w:sz="4" w:space="0" w:color="auto"/>
              <w:right w:val="single" w:sz="4" w:space="0" w:color="auto"/>
            </w:tcBorders>
            <w:shd w:val="clear" w:color="auto" w:fill="auto"/>
            <w:noWrap/>
            <w:vAlign w:val="center"/>
          </w:tcPr>
          <w:p w14:paraId="40D10283"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Kolkata</w:t>
            </w:r>
          </w:p>
        </w:tc>
        <w:tc>
          <w:tcPr>
            <w:tcW w:w="1528" w:type="dxa"/>
            <w:tcBorders>
              <w:top w:val="nil"/>
              <w:left w:val="nil"/>
              <w:bottom w:val="single" w:sz="4" w:space="0" w:color="auto"/>
              <w:right w:val="single" w:sz="4" w:space="0" w:color="auto"/>
            </w:tcBorders>
            <w:shd w:val="clear" w:color="auto" w:fill="auto"/>
            <w:noWrap/>
            <w:vAlign w:val="center"/>
          </w:tcPr>
          <w:p w14:paraId="2D5A3DF9"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646</w:t>
            </w:r>
          </w:p>
        </w:tc>
      </w:tr>
      <w:tr w:rsidR="009701AB" w14:paraId="17DDC677" w14:textId="77777777" w:rsidTr="005062AF">
        <w:trPr>
          <w:trHeight w:val="300"/>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7DDC7"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Hyderabad</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5C53EDF0"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749</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1ADBF771"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Chennai</w:t>
            </w:r>
          </w:p>
        </w:tc>
        <w:tc>
          <w:tcPr>
            <w:tcW w:w="1308" w:type="dxa"/>
            <w:tcBorders>
              <w:top w:val="single" w:sz="4" w:space="0" w:color="auto"/>
              <w:left w:val="nil"/>
              <w:bottom w:val="single" w:sz="4" w:space="0" w:color="auto"/>
              <w:right w:val="single" w:sz="4" w:space="0" w:color="auto"/>
            </w:tcBorders>
            <w:shd w:val="clear" w:color="auto" w:fill="auto"/>
            <w:noWrap/>
            <w:vAlign w:val="center"/>
          </w:tcPr>
          <w:p w14:paraId="03B06912"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1,432</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21BB81CD" w14:textId="77777777" w:rsidR="009701AB" w:rsidRDefault="002906FF">
            <w:pPr>
              <w:spacing w:after="0" w:line="240" w:lineRule="auto"/>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Ahmedabad</w:t>
            </w:r>
          </w:p>
        </w:tc>
        <w:tc>
          <w:tcPr>
            <w:tcW w:w="1528" w:type="dxa"/>
            <w:tcBorders>
              <w:top w:val="single" w:sz="4" w:space="0" w:color="auto"/>
              <w:left w:val="nil"/>
              <w:bottom w:val="single" w:sz="4" w:space="0" w:color="auto"/>
              <w:right w:val="single" w:sz="4" w:space="0" w:color="auto"/>
            </w:tcBorders>
            <w:shd w:val="clear" w:color="auto" w:fill="auto"/>
            <w:noWrap/>
            <w:vAlign w:val="center"/>
          </w:tcPr>
          <w:p w14:paraId="316F5A09" w14:textId="77777777" w:rsidR="009701AB" w:rsidRDefault="002906FF">
            <w:pPr>
              <w:spacing w:after="0" w:line="240" w:lineRule="auto"/>
              <w:jc w:val="center"/>
              <w:rPr>
                <w:rFonts w:ascii="Calibri" w:eastAsia="Times New Roman" w:hAnsi="Calibri" w:cs="Calibri"/>
                <w:color w:val="000000"/>
                <w:sz w:val="20"/>
                <w:szCs w:val="20"/>
                <w:lang w:eastAsia="en-IN"/>
              </w:rPr>
            </w:pPr>
            <w:r>
              <w:rPr>
                <w:rFonts w:ascii="Calibri" w:eastAsia="Times New Roman" w:hAnsi="Calibri" w:cs="Calibri"/>
                <w:color w:val="000000"/>
                <w:sz w:val="20"/>
                <w:szCs w:val="20"/>
                <w:lang w:eastAsia="en-IN"/>
              </w:rPr>
              <w:t>609</w:t>
            </w:r>
          </w:p>
        </w:tc>
      </w:tr>
      <w:tr w:rsidR="009701AB" w14:paraId="66CC5727" w14:textId="77777777" w:rsidTr="005062AF">
        <w:trPr>
          <w:trHeight w:val="300"/>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389BD" w14:textId="77777777" w:rsidR="009701AB" w:rsidRDefault="002906FF">
            <w:pPr>
              <w:spacing w:after="0" w:line="240" w:lineRule="auto"/>
              <w:rPr>
                <w:rFonts w:ascii="Calibri" w:eastAsia="Times New Roman" w:hAnsi="Calibri" w:cs="Calibri"/>
                <w:color w:val="000000"/>
                <w:sz w:val="20"/>
                <w:szCs w:val="20"/>
                <w:lang w:val="en-US" w:eastAsia="en-IN"/>
              </w:rPr>
            </w:pPr>
            <w:r>
              <w:rPr>
                <w:rFonts w:ascii="Calibri" w:eastAsia="Times New Roman" w:hAnsi="Calibri" w:cs="Calibri"/>
                <w:b/>
                <w:bCs/>
                <w:color w:val="000000"/>
                <w:sz w:val="20"/>
                <w:szCs w:val="20"/>
                <w:lang w:val="en-US" w:eastAsia="en-IN"/>
              </w:rPr>
              <w:t>Total</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3297EE94" w14:textId="77777777" w:rsidR="009701AB" w:rsidRDefault="002906FF">
            <w:pPr>
              <w:spacing w:after="0" w:line="240" w:lineRule="auto"/>
              <w:jc w:val="center"/>
              <w:rPr>
                <w:rFonts w:ascii="Calibri" w:eastAsia="Times New Roman" w:hAnsi="Calibri" w:cs="Calibri"/>
                <w:color w:val="000000"/>
                <w:sz w:val="20"/>
                <w:szCs w:val="20"/>
                <w:lang w:val="en-US" w:eastAsia="en-IN"/>
              </w:rPr>
            </w:pPr>
            <w:r>
              <w:rPr>
                <w:rFonts w:ascii="Calibri" w:eastAsia="Times New Roman" w:hAnsi="Calibri" w:cs="Calibri"/>
                <w:b/>
                <w:bCs/>
                <w:color w:val="000000"/>
                <w:sz w:val="20"/>
                <w:szCs w:val="20"/>
                <w:lang w:val="en-US" w:eastAsia="en-IN"/>
              </w:rPr>
              <w:t>24,143</w:t>
            </w:r>
          </w:p>
        </w:tc>
        <w:tc>
          <w:tcPr>
            <w:tcW w:w="1312" w:type="dxa"/>
            <w:tcBorders>
              <w:top w:val="single" w:sz="4" w:space="0" w:color="auto"/>
              <w:left w:val="nil"/>
              <w:bottom w:val="single" w:sz="4" w:space="0" w:color="auto"/>
              <w:right w:val="single" w:sz="4" w:space="0" w:color="auto"/>
            </w:tcBorders>
            <w:shd w:val="clear" w:color="auto" w:fill="auto"/>
            <w:noWrap/>
            <w:vAlign w:val="center"/>
          </w:tcPr>
          <w:p w14:paraId="09A87238" w14:textId="77777777" w:rsidR="009701AB" w:rsidRDefault="009701AB">
            <w:pPr>
              <w:spacing w:after="0" w:line="240" w:lineRule="auto"/>
              <w:rPr>
                <w:rFonts w:ascii="Calibri" w:eastAsia="Times New Roman" w:hAnsi="Calibri" w:cs="Calibri"/>
                <w:color w:val="000000"/>
                <w:sz w:val="20"/>
                <w:szCs w:val="20"/>
                <w:lang w:val="en-US" w:eastAsia="en-IN"/>
              </w:rPr>
            </w:pPr>
          </w:p>
        </w:tc>
        <w:tc>
          <w:tcPr>
            <w:tcW w:w="1308" w:type="dxa"/>
            <w:tcBorders>
              <w:top w:val="single" w:sz="4" w:space="0" w:color="auto"/>
              <w:left w:val="nil"/>
              <w:bottom w:val="single" w:sz="4" w:space="0" w:color="auto"/>
              <w:right w:val="single" w:sz="4" w:space="0" w:color="auto"/>
            </w:tcBorders>
            <w:shd w:val="clear" w:color="auto" w:fill="auto"/>
            <w:noWrap/>
            <w:vAlign w:val="center"/>
          </w:tcPr>
          <w:p w14:paraId="1E3288A4" w14:textId="77777777" w:rsidR="009701AB" w:rsidRDefault="002906FF">
            <w:pPr>
              <w:spacing w:after="0" w:line="240" w:lineRule="auto"/>
              <w:jc w:val="center"/>
              <w:rPr>
                <w:rFonts w:ascii="Calibri" w:eastAsia="Times New Roman" w:hAnsi="Calibri" w:cs="Calibri"/>
                <w:color w:val="000000"/>
                <w:sz w:val="20"/>
                <w:szCs w:val="20"/>
                <w:lang w:val="en-US" w:eastAsia="en-IN"/>
              </w:rPr>
            </w:pPr>
            <w:r>
              <w:rPr>
                <w:rFonts w:ascii="Calibri" w:eastAsia="Times New Roman" w:hAnsi="Calibri" w:cs="Calibri"/>
                <w:b/>
                <w:bCs/>
                <w:color w:val="000000"/>
                <w:sz w:val="20"/>
                <w:szCs w:val="20"/>
                <w:lang w:val="en-US" w:eastAsia="en-IN"/>
              </w:rPr>
              <w:t>29,827</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13B0BB32" w14:textId="77777777" w:rsidR="009701AB" w:rsidRDefault="009701AB">
            <w:pPr>
              <w:spacing w:after="0" w:line="240" w:lineRule="auto"/>
              <w:rPr>
                <w:rFonts w:ascii="Calibri" w:eastAsia="Times New Roman" w:hAnsi="Calibri" w:cs="Calibri"/>
                <w:color w:val="000000"/>
                <w:sz w:val="20"/>
                <w:szCs w:val="20"/>
                <w:lang w:eastAsia="en-IN"/>
              </w:rPr>
            </w:pPr>
          </w:p>
        </w:tc>
        <w:tc>
          <w:tcPr>
            <w:tcW w:w="1528" w:type="dxa"/>
            <w:tcBorders>
              <w:top w:val="single" w:sz="4" w:space="0" w:color="auto"/>
              <w:left w:val="nil"/>
              <w:bottom w:val="single" w:sz="4" w:space="0" w:color="auto"/>
              <w:right w:val="single" w:sz="4" w:space="0" w:color="auto"/>
            </w:tcBorders>
            <w:shd w:val="clear" w:color="auto" w:fill="auto"/>
            <w:noWrap/>
            <w:vAlign w:val="center"/>
          </w:tcPr>
          <w:p w14:paraId="7E0A28CE" w14:textId="77777777" w:rsidR="009701AB" w:rsidRDefault="002906FF">
            <w:pPr>
              <w:spacing w:after="0" w:line="240" w:lineRule="auto"/>
              <w:jc w:val="center"/>
              <w:rPr>
                <w:rFonts w:ascii="Calibri" w:eastAsia="Times New Roman" w:hAnsi="Calibri" w:cs="Calibri"/>
                <w:color w:val="000000"/>
                <w:sz w:val="20"/>
                <w:szCs w:val="20"/>
                <w:lang w:val="en-US" w:eastAsia="en-IN"/>
              </w:rPr>
            </w:pPr>
            <w:r>
              <w:rPr>
                <w:rFonts w:ascii="Calibri" w:eastAsia="Times New Roman" w:hAnsi="Calibri" w:cs="Calibri"/>
                <w:b/>
                <w:bCs/>
                <w:color w:val="000000"/>
                <w:sz w:val="20"/>
                <w:szCs w:val="20"/>
                <w:lang w:val="en-US" w:eastAsia="en-IN"/>
              </w:rPr>
              <w:t>28,642</w:t>
            </w:r>
          </w:p>
        </w:tc>
      </w:tr>
    </w:tbl>
    <w:p w14:paraId="483857CC" w14:textId="77777777" w:rsidR="009701AB" w:rsidRDefault="002906FF">
      <w:pPr>
        <w:spacing w:line="360" w:lineRule="auto"/>
        <w:jc w:val="center"/>
        <w:rPr>
          <w:sz w:val="16"/>
          <w:lang w:val="en-US"/>
        </w:rPr>
      </w:pPr>
      <w:r>
        <w:rPr>
          <w:sz w:val="16"/>
        </w:rPr>
        <w:t>Source: Knight Frank Research</w:t>
      </w:r>
    </w:p>
    <w:p w14:paraId="459B9C57" w14:textId="526064C3" w:rsidR="00DB377F" w:rsidRPr="005062AF" w:rsidRDefault="00324C58" w:rsidP="005062AF">
      <w:pPr>
        <w:shd w:val="clear" w:color="auto" w:fill="C00000"/>
        <w:jc w:val="both"/>
        <w:rPr>
          <w:b/>
          <w:color w:val="FFFFFF" w:themeColor="background1"/>
        </w:rPr>
      </w:pPr>
      <w:r>
        <w:rPr>
          <w:b/>
          <w:color w:val="FFFFFF" w:themeColor="background1"/>
        </w:rPr>
        <w:t>In YTD analysis &gt;10 Mn category outperforms affordable segment in 2023 vs 2018</w:t>
      </w:r>
    </w:p>
    <w:p w14:paraId="53F3BD3B" w14:textId="16D51518" w:rsidR="004E29F9" w:rsidRPr="0095633B" w:rsidRDefault="00DB377F" w:rsidP="00F535F4">
      <w:pPr>
        <w:jc w:val="both"/>
        <w:rPr>
          <w:bCs/>
        </w:rPr>
      </w:pPr>
      <w:r w:rsidRPr="0095633B">
        <w:rPr>
          <w:bCs/>
        </w:rPr>
        <w:t xml:space="preserve">In a year-to-date analysis of the top markets, when compared to 2018 or five years ago, the first 9 months of 2018 registered sale of </w:t>
      </w:r>
      <w:r w:rsidR="004E29F9" w:rsidRPr="0095633B">
        <w:rPr>
          <w:bCs/>
        </w:rPr>
        <w:t xml:space="preserve">187,152 units. Of the total, </w:t>
      </w:r>
      <w:r w:rsidRPr="0095633B">
        <w:rPr>
          <w:bCs/>
        </w:rPr>
        <w:t xml:space="preserve">over 100,000 residential units </w:t>
      </w:r>
      <w:r w:rsidR="004E29F9" w:rsidRPr="0095633B">
        <w:rPr>
          <w:bCs/>
        </w:rPr>
        <w:t xml:space="preserve">were in the category of </w:t>
      </w:r>
      <w:r w:rsidRPr="0095633B">
        <w:rPr>
          <w:bCs/>
        </w:rPr>
        <w:t xml:space="preserve">INR 5 Mn or </w:t>
      </w:r>
      <w:r w:rsidR="00324C58" w:rsidRPr="0095633B">
        <w:rPr>
          <w:bCs/>
        </w:rPr>
        <w:t>below,</w:t>
      </w:r>
      <w:r w:rsidR="004E29F9" w:rsidRPr="0095633B">
        <w:rPr>
          <w:bCs/>
        </w:rPr>
        <w:t xml:space="preserve"> </w:t>
      </w:r>
      <w:r w:rsidRPr="0095633B">
        <w:rPr>
          <w:bCs/>
        </w:rPr>
        <w:t xml:space="preserve">a </w:t>
      </w:r>
      <w:r w:rsidR="004E29F9" w:rsidRPr="0095633B">
        <w:rPr>
          <w:bCs/>
        </w:rPr>
        <w:t xml:space="preserve">formidable </w:t>
      </w:r>
      <w:r w:rsidRPr="0095633B">
        <w:rPr>
          <w:bCs/>
        </w:rPr>
        <w:t>54% of the total sales</w:t>
      </w:r>
      <w:r w:rsidR="004E29F9" w:rsidRPr="0095633B">
        <w:rPr>
          <w:bCs/>
        </w:rPr>
        <w:t xml:space="preserve"> in the first 9 months. As compared to that, the INR 5- 10 Mn category recorded sales of a little over 57,000 making up 32%, while INR 10 Mn and above saw sales of 29,485 making up a modest 16% of total sales achieved between January - September 2018. </w:t>
      </w:r>
    </w:p>
    <w:p w14:paraId="6783DF81" w14:textId="77777777" w:rsidR="005062AF" w:rsidRDefault="005062AF" w:rsidP="00F535F4">
      <w:pPr>
        <w:jc w:val="both"/>
        <w:rPr>
          <w:bCs/>
          <w:highlight w:val="yellow"/>
        </w:rPr>
      </w:pPr>
    </w:p>
    <w:p w14:paraId="65022687" w14:textId="77777777" w:rsidR="005062AF" w:rsidRDefault="005062AF" w:rsidP="00F535F4">
      <w:pPr>
        <w:jc w:val="both"/>
        <w:rPr>
          <w:bCs/>
          <w:highlight w:val="yellow"/>
        </w:rPr>
      </w:pPr>
    </w:p>
    <w:p w14:paraId="016BEBD2" w14:textId="77777777" w:rsidR="005062AF" w:rsidRDefault="005062AF" w:rsidP="00F535F4">
      <w:pPr>
        <w:jc w:val="both"/>
        <w:rPr>
          <w:bCs/>
          <w:highlight w:val="yellow"/>
        </w:rPr>
      </w:pPr>
    </w:p>
    <w:p w14:paraId="4344DD9F" w14:textId="289BBEB5" w:rsidR="005062AF" w:rsidRPr="0095633B" w:rsidRDefault="005062AF" w:rsidP="005062AF">
      <w:pPr>
        <w:jc w:val="center"/>
        <w:rPr>
          <w:b/>
          <w:sz w:val="24"/>
          <w:szCs w:val="24"/>
        </w:rPr>
      </w:pPr>
      <w:r w:rsidRPr="0095633B">
        <w:rPr>
          <w:b/>
          <w:sz w:val="24"/>
          <w:szCs w:val="24"/>
        </w:rPr>
        <w:lastRenderedPageBreak/>
        <w:t>Category -wise demand analysis (Jan – Sept 2018 vs Jan – Sept 2023)</w:t>
      </w:r>
    </w:p>
    <w:tbl>
      <w:tblPr>
        <w:tblStyle w:val="TableGrid1"/>
        <w:tblW w:w="6658" w:type="dxa"/>
        <w:jc w:val="center"/>
        <w:tblLook w:val="04A0" w:firstRow="1" w:lastRow="0" w:firstColumn="1" w:lastColumn="0" w:noHBand="0" w:noVBand="1"/>
      </w:tblPr>
      <w:tblGrid>
        <w:gridCol w:w="2122"/>
        <w:gridCol w:w="1417"/>
        <w:gridCol w:w="1559"/>
        <w:gridCol w:w="1560"/>
      </w:tblGrid>
      <w:tr w:rsidR="00510DF8" w:rsidRPr="005062AF" w14:paraId="54555340" w14:textId="77777777" w:rsidTr="002F3C79">
        <w:trPr>
          <w:trHeight w:val="300"/>
          <w:jc w:val="center"/>
        </w:trPr>
        <w:tc>
          <w:tcPr>
            <w:tcW w:w="2122" w:type="dxa"/>
            <w:shd w:val="clear" w:color="auto" w:fill="C00000"/>
            <w:noWrap/>
            <w:hideMark/>
          </w:tcPr>
          <w:p w14:paraId="26977B69" w14:textId="77777777" w:rsidR="00510DF8" w:rsidRPr="005062AF" w:rsidRDefault="00510DF8" w:rsidP="002F3C79">
            <w:pPr>
              <w:spacing w:after="0" w:line="240" w:lineRule="auto"/>
              <w:jc w:val="center"/>
              <w:rPr>
                <w:rFonts w:eastAsia="Times New Roman" w:cs="Calibri"/>
                <w:b/>
                <w:bCs/>
                <w:color w:val="FFFFFF"/>
                <w:sz w:val="20"/>
                <w:szCs w:val="20"/>
                <w:lang w:eastAsia="en-IN"/>
              </w:rPr>
            </w:pPr>
            <w:r w:rsidRPr="005062AF">
              <w:rPr>
                <w:rFonts w:eastAsia="Times New Roman" w:cs="Calibri"/>
                <w:b/>
                <w:bCs/>
                <w:color w:val="FFFFFF"/>
                <w:sz w:val="20"/>
                <w:szCs w:val="20"/>
                <w:lang w:eastAsia="en-IN"/>
              </w:rPr>
              <w:t>YTD</w:t>
            </w:r>
          </w:p>
        </w:tc>
        <w:tc>
          <w:tcPr>
            <w:tcW w:w="1417" w:type="dxa"/>
            <w:shd w:val="clear" w:color="auto" w:fill="C00000"/>
            <w:noWrap/>
            <w:hideMark/>
          </w:tcPr>
          <w:p w14:paraId="1C6632C7" w14:textId="77777777" w:rsidR="00510DF8" w:rsidRPr="005062AF" w:rsidRDefault="00510DF8" w:rsidP="002F3C79">
            <w:pPr>
              <w:spacing w:after="0" w:line="240" w:lineRule="auto"/>
              <w:jc w:val="center"/>
              <w:rPr>
                <w:rFonts w:eastAsia="Times New Roman" w:cs="Calibri"/>
                <w:b/>
                <w:bCs/>
                <w:color w:val="FFFFFF"/>
                <w:sz w:val="20"/>
                <w:szCs w:val="20"/>
                <w:lang w:eastAsia="en-IN"/>
              </w:rPr>
            </w:pPr>
            <w:r w:rsidRPr="005062AF">
              <w:rPr>
                <w:rFonts w:eastAsia="Times New Roman" w:cs="Calibri"/>
                <w:b/>
                <w:bCs/>
                <w:color w:val="FFFFFF"/>
                <w:sz w:val="20"/>
                <w:szCs w:val="20"/>
                <w:lang w:eastAsia="en-IN"/>
              </w:rPr>
              <w:t>&lt;5 Mn</w:t>
            </w:r>
          </w:p>
        </w:tc>
        <w:tc>
          <w:tcPr>
            <w:tcW w:w="1559" w:type="dxa"/>
            <w:shd w:val="clear" w:color="auto" w:fill="C00000"/>
            <w:noWrap/>
            <w:hideMark/>
          </w:tcPr>
          <w:p w14:paraId="17B6C8A6" w14:textId="77777777" w:rsidR="00510DF8" w:rsidRPr="005062AF" w:rsidRDefault="00510DF8" w:rsidP="002F3C79">
            <w:pPr>
              <w:spacing w:after="0" w:line="240" w:lineRule="auto"/>
              <w:jc w:val="center"/>
              <w:rPr>
                <w:rFonts w:eastAsia="Times New Roman" w:cs="Calibri"/>
                <w:b/>
                <w:bCs/>
                <w:color w:val="FFFFFF"/>
                <w:sz w:val="20"/>
                <w:szCs w:val="20"/>
                <w:lang w:eastAsia="en-IN"/>
              </w:rPr>
            </w:pPr>
            <w:r w:rsidRPr="005062AF">
              <w:rPr>
                <w:rFonts w:eastAsia="Times New Roman" w:cs="Calibri"/>
                <w:b/>
                <w:bCs/>
                <w:color w:val="FFFFFF"/>
                <w:sz w:val="20"/>
                <w:szCs w:val="20"/>
                <w:lang w:eastAsia="en-IN"/>
              </w:rPr>
              <w:t>5 - 10 mn</w:t>
            </w:r>
          </w:p>
        </w:tc>
        <w:tc>
          <w:tcPr>
            <w:tcW w:w="1560" w:type="dxa"/>
            <w:shd w:val="clear" w:color="auto" w:fill="C00000"/>
            <w:noWrap/>
            <w:hideMark/>
          </w:tcPr>
          <w:p w14:paraId="5A3C3F4D" w14:textId="77777777" w:rsidR="00510DF8" w:rsidRPr="005062AF" w:rsidRDefault="00510DF8" w:rsidP="002F3C79">
            <w:pPr>
              <w:spacing w:after="0" w:line="240" w:lineRule="auto"/>
              <w:jc w:val="center"/>
              <w:rPr>
                <w:rFonts w:eastAsia="Times New Roman" w:cs="Calibri"/>
                <w:b/>
                <w:bCs/>
                <w:color w:val="FFFFFF"/>
                <w:sz w:val="20"/>
                <w:szCs w:val="20"/>
                <w:lang w:eastAsia="en-IN"/>
              </w:rPr>
            </w:pPr>
            <w:r w:rsidRPr="005062AF">
              <w:rPr>
                <w:rFonts w:eastAsia="Times New Roman" w:cs="Calibri"/>
                <w:b/>
                <w:bCs/>
                <w:color w:val="FFFFFF"/>
                <w:sz w:val="20"/>
                <w:szCs w:val="20"/>
                <w:lang w:eastAsia="en-IN"/>
              </w:rPr>
              <w:t>&gt;10 mn</w:t>
            </w:r>
          </w:p>
        </w:tc>
      </w:tr>
      <w:tr w:rsidR="00510DF8" w:rsidRPr="005062AF" w14:paraId="73FEA609" w14:textId="77777777" w:rsidTr="002F3C79">
        <w:trPr>
          <w:trHeight w:val="300"/>
          <w:jc w:val="center"/>
        </w:trPr>
        <w:tc>
          <w:tcPr>
            <w:tcW w:w="2122" w:type="dxa"/>
            <w:shd w:val="clear" w:color="auto" w:fill="C00000"/>
            <w:noWrap/>
            <w:hideMark/>
          </w:tcPr>
          <w:p w14:paraId="686795C4" w14:textId="77777777" w:rsidR="00510DF8" w:rsidRPr="005062AF" w:rsidRDefault="00510DF8" w:rsidP="002F3C79">
            <w:pPr>
              <w:spacing w:after="0" w:line="240" w:lineRule="auto"/>
              <w:jc w:val="center"/>
              <w:rPr>
                <w:rFonts w:eastAsia="Times New Roman" w:cs="Calibri"/>
                <w:b/>
                <w:bCs/>
                <w:color w:val="FFFFFF" w:themeColor="background1"/>
                <w:lang w:eastAsia="en-IN"/>
              </w:rPr>
            </w:pPr>
            <w:r w:rsidRPr="005062AF">
              <w:rPr>
                <w:rFonts w:eastAsia="Times New Roman" w:cs="Calibri"/>
                <w:b/>
                <w:bCs/>
                <w:color w:val="FFFFFF" w:themeColor="background1"/>
                <w:lang w:eastAsia="en-IN"/>
              </w:rPr>
              <w:t>2018</w:t>
            </w:r>
          </w:p>
        </w:tc>
        <w:tc>
          <w:tcPr>
            <w:tcW w:w="1417" w:type="dxa"/>
            <w:noWrap/>
            <w:hideMark/>
          </w:tcPr>
          <w:p w14:paraId="68E96009" w14:textId="77777777" w:rsidR="00510DF8" w:rsidRPr="005062AF" w:rsidRDefault="00510DF8" w:rsidP="002F3C79">
            <w:pPr>
              <w:spacing w:after="0" w:line="240" w:lineRule="auto"/>
              <w:jc w:val="right"/>
              <w:rPr>
                <w:rFonts w:eastAsia="Times New Roman" w:cs="Calibri"/>
                <w:color w:val="000000"/>
                <w:lang w:eastAsia="en-IN"/>
              </w:rPr>
            </w:pPr>
            <w:r w:rsidRPr="005062AF">
              <w:rPr>
                <w:rFonts w:eastAsia="Times New Roman" w:cs="Calibri"/>
                <w:color w:val="000000"/>
                <w:lang w:eastAsia="en-IN"/>
              </w:rPr>
              <w:t>100513</w:t>
            </w:r>
          </w:p>
        </w:tc>
        <w:tc>
          <w:tcPr>
            <w:tcW w:w="1559" w:type="dxa"/>
            <w:noWrap/>
            <w:hideMark/>
          </w:tcPr>
          <w:p w14:paraId="5C161F52" w14:textId="77777777" w:rsidR="00510DF8" w:rsidRPr="005062AF" w:rsidRDefault="00510DF8" w:rsidP="002F3C79">
            <w:pPr>
              <w:spacing w:after="0" w:line="240" w:lineRule="auto"/>
              <w:jc w:val="right"/>
              <w:rPr>
                <w:rFonts w:eastAsia="Times New Roman" w:cs="Calibri"/>
                <w:color w:val="000000"/>
                <w:lang w:eastAsia="en-IN"/>
              </w:rPr>
            </w:pPr>
            <w:r w:rsidRPr="005062AF">
              <w:rPr>
                <w:rFonts w:eastAsia="Times New Roman" w:cs="Calibri"/>
                <w:color w:val="000000"/>
                <w:lang w:eastAsia="en-IN"/>
              </w:rPr>
              <w:t>57153</w:t>
            </w:r>
          </w:p>
        </w:tc>
        <w:tc>
          <w:tcPr>
            <w:tcW w:w="1560" w:type="dxa"/>
            <w:noWrap/>
            <w:hideMark/>
          </w:tcPr>
          <w:p w14:paraId="57BC75C3" w14:textId="77777777" w:rsidR="00510DF8" w:rsidRPr="005062AF" w:rsidRDefault="00510DF8" w:rsidP="002F3C79">
            <w:pPr>
              <w:spacing w:after="0" w:line="240" w:lineRule="auto"/>
              <w:jc w:val="right"/>
              <w:rPr>
                <w:rFonts w:eastAsia="Times New Roman" w:cs="Calibri"/>
                <w:color w:val="000000"/>
                <w:lang w:eastAsia="en-IN"/>
              </w:rPr>
            </w:pPr>
            <w:r w:rsidRPr="005062AF">
              <w:rPr>
                <w:rFonts w:eastAsia="Times New Roman" w:cs="Calibri"/>
                <w:color w:val="000000"/>
                <w:lang w:eastAsia="en-IN"/>
              </w:rPr>
              <w:t>29485</w:t>
            </w:r>
          </w:p>
        </w:tc>
      </w:tr>
      <w:tr w:rsidR="00510DF8" w:rsidRPr="005062AF" w14:paraId="0FF28D1E" w14:textId="77777777" w:rsidTr="002F3C79">
        <w:trPr>
          <w:trHeight w:val="300"/>
          <w:jc w:val="center"/>
        </w:trPr>
        <w:tc>
          <w:tcPr>
            <w:tcW w:w="2122" w:type="dxa"/>
            <w:shd w:val="clear" w:color="auto" w:fill="C00000"/>
            <w:noWrap/>
            <w:hideMark/>
          </w:tcPr>
          <w:p w14:paraId="0B348C34" w14:textId="77777777" w:rsidR="00510DF8" w:rsidRPr="005062AF" w:rsidRDefault="00510DF8" w:rsidP="002F3C79">
            <w:pPr>
              <w:spacing w:after="0" w:line="240" w:lineRule="auto"/>
              <w:jc w:val="center"/>
              <w:rPr>
                <w:rFonts w:eastAsia="Times New Roman" w:cs="Calibri"/>
                <w:b/>
                <w:bCs/>
                <w:color w:val="FFFFFF" w:themeColor="background1"/>
                <w:lang w:eastAsia="en-IN"/>
              </w:rPr>
            </w:pPr>
            <w:r w:rsidRPr="005062AF">
              <w:rPr>
                <w:rFonts w:eastAsia="Times New Roman" w:cs="Calibri"/>
                <w:b/>
                <w:bCs/>
                <w:color w:val="FFFFFF" w:themeColor="background1"/>
                <w:lang w:eastAsia="en-IN"/>
              </w:rPr>
              <w:t>2023</w:t>
            </w:r>
          </w:p>
        </w:tc>
        <w:tc>
          <w:tcPr>
            <w:tcW w:w="1417" w:type="dxa"/>
            <w:noWrap/>
            <w:hideMark/>
          </w:tcPr>
          <w:p w14:paraId="79F34DC6" w14:textId="77777777" w:rsidR="00510DF8" w:rsidRPr="005062AF" w:rsidRDefault="00510DF8" w:rsidP="002F3C79">
            <w:pPr>
              <w:spacing w:after="0" w:line="240" w:lineRule="auto"/>
              <w:jc w:val="right"/>
              <w:rPr>
                <w:rFonts w:eastAsia="Times New Roman" w:cs="Calibri"/>
                <w:color w:val="000000"/>
                <w:lang w:eastAsia="en-IN"/>
              </w:rPr>
            </w:pPr>
            <w:r w:rsidRPr="005062AF">
              <w:rPr>
                <w:rFonts w:eastAsia="Times New Roman" w:cs="Calibri"/>
                <w:color w:val="000000"/>
                <w:lang w:eastAsia="en-IN"/>
              </w:rPr>
              <w:t>74069</w:t>
            </w:r>
          </w:p>
        </w:tc>
        <w:tc>
          <w:tcPr>
            <w:tcW w:w="1559" w:type="dxa"/>
            <w:noWrap/>
            <w:hideMark/>
          </w:tcPr>
          <w:p w14:paraId="05FBAF8D" w14:textId="77777777" w:rsidR="00510DF8" w:rsidRPr="005062AF" w:rsidRDefault="00510DF8" w:rsidP="002F3C79">
            <w:pPr>
              <w:spacing w:after="0" w:line="240" w:lineRule="auto"/>
              <w:jc w:val="right"/>
              <w:rPr>
                <w:rFonts w:eastAsia="Times New Roman" w:cs="Calibri"/>
                <w:color w:val="000000"/>
                <w:lang w:eastAsia="en-IN"/>
              </w:rPr>
            </w:pPr>
            <w:r w:rsidRPr="005062AF">
              <w:rPr>
                <w:rFonts w:eastAsia="Times New Roman" w:cs="Calibri"/>
                <w:color w:val="000000"/>
                <w:lang w:eastAsia="en-IN"/>
              </w:rPr>
              <w:t>89410</w:t>
            </w:r>
          </w:p>
        </w:tc>
        <w:tc>
          <w:tcPr>
            <w:tcW w:w="1560" w:type="dxa"/>
            <w:noWrap/>
            <w:hideMark/>
          </w:tcPr>
          <w:p w14:paraId="238A6933" w14:textId="77777777" w:rsidR="00510DF8" w:rsidRPr="005062AF" w:rsidRDefault="00510DF8" w:rsidP="002F3C79">
            <w:pPr>
              <w:spacing w:after="0" w:line="240" w:lineRule="auto"/>
              <w:jc w:val="right"/>
              <w:rPr>
                <w:rFonts w:eastAsia="Times New Roman" w:cs="Calibri"/>
                <w:color w:val="000000"/>
                <w:lang w:eastAsia="en-IN"/>
              </w:rPr>
            </w:pPr>
            <w:r w:rsidRPr="005062AF">
              <w:rPr>
                <w:rFonts w:eastAsia="Times New Roman" w:cs="Calibri"/>
                <w:color w:val="000000"/>
                <w:lang w:eastAsia="en-IN"/>
              </w:rPr>
              <w:t>75773</w:t>
            </w:r>
          </w:p>
        </w:tc>
      </w:tr>
      <w:tr w:rsidR="00510DF8" w:rsidRPr="00324C58" w14:paraId="5C0A2E5E" w14:textId="77777777" w:rsidTr="002F3C79">
        <w:trPr>
          <w:trHeight w:val="300"/>
          <w:jc w:val="center"/>
        </w:trPr>
        <w:tc>
          <w:tcPr>
            <w:tcW w:w="2122" w:type="dxa"/>
            <w:shd w:val="clear" w:color="auto" w:fill="C00000"/>
            <w:noWrap/>
            <w:hideMark/>
          </w:tcPr>
          <w:p w14:paraId="671C653A" w14:textId="77777777" w:rsidR="00510DF8" w:rsidRPr="005062AF" w:rsidRDefault="00510DF8" w:rsidP="002F3C79">
            <w:pPr>
              <w:spacing w:after="0" w:line="240" w:lineRule="auto"/>
              <w:jc w:val="center"/>
              <w:rPr>
                <w:rFonts w:eastAsia="Times New Roman" w:cs="Calibri"/>
                <w:b/>
                <w:bCs/>
                <w:color w:val="FFFFFF" w:themeColor="background1"/>
                <w:lang w:eastAsia="en-IN"/>
              </w:rPr>
            </w:pPr>
            <w:r w:rsidRPr="005062AF">
              <w:rPr>
                <w:rFonts w:eastAsia="Times New Roman" w:cs="Calibri"/>
                <w:b/>
                <w:bCs/>
                <w:color w:val="FFFFFF" w:themeColor="background1"/>
                <w:lang w:eastAsia="en-IN"/>
              </w:rPr>
              <w:t xml:space="preserve">% change </w:t>
            </w:r>
          </w:p>
          <w:p w14:paraId="47645E27" w14:textId="77777777" w:rsidR="00510DF8" w:rsidRPr="005062AF" w:rsidRDefault="00510DF8" w:rsidP="002F3C79">
            <w:pPr>
              <w:spacing w:after="0" w:line="240" w:lineRule="auto"/>
              <w:jc w:val="center"/>
              <w:rPr>
                <w:rFonts w:eastAsia="Times New Roman" w:cs="Calibri"/>
                <w:b/>
                <w:bCs/>
                <w:color w:val="FFFFFF" w:themeColor="background1"/>
                <w:lang w:eastAsia="en-IN"/>
              </w:rPr>
            </w:pPr>
            <w:r w:rsidRPr="005062AF">
              <w:rPr>
                <w:rFonts w:eastAsia="Times New Roman" w:cs="Calibri"/>
                <w:b/>
                <w:bCs/>
                <w:color w:val="FFFFFF" w:themeColor="background1"/>
                <w:lang w:eastAsia="en-IN"/>
              </w:rPr>
              <w:t>(2023 vs 2018)</w:t>
            </w:r>
          </w:p>
        </w:tc>
        <w:tc>
          <w:tcPr>
            <w:tcW w:w="1417" w:type="dxa"/>
            <w:noWrap/>
            <w:hideMark/>
          </w:tcPr>
          <w:p w14:paraId="707CD036" w14:textId="77777777" w:rsidR="00510DF8" w:rsidRPr="005062AF" w:rsidRDefault="00510DF8" w:rsidP="002F3C79">
            <w:pPr>
              <w:spacing w:after="0" w:line="240" w:lineRule="auto"/>
              <w:jc w:val="right"/>
              <w:rPr>
                <w:rFonts w:eastAsia="Times New Roman" w:cs="Calibri"/>
                <w:color w:val="000000"/>
                <w:lang w:eastAsia="en-IN"/>
              </w:rPr>
            </w:pPr>
            <w:r w:rsidRPr="005062AF">
              <w:rPr>
                <w:rFonts w:eastAsia="Times New Roman" w:cs="Calibri"/>
                <w:color w:val="000000"/>
                <w:lang w:eastAsia="en-IN"/>
              </w:rPr>
              <w:t>-26%</w:t>
            </w:r>
          </w:p>
        </w:tc>
        <w:tc>
          <w:tcPr>
            <w:tcW w:w="1559" w:type="dxa"/>
            <w:noWrap/>
            <w:hideMark/>
          </w:tcPr>
          <w:p w14:paraId="7F4CA3D8" w14:textId="77777777" w:rsidR="00510DF8" w:rsidRPr="005062AF" w:rsidRDefault="00510DF8" w:rsidP="002F3C79">
            <w:pPr>
              <w:spacing w:after="0" w:line="240" w:lineRule="auto"/>
              <w:jc w:val="right"/>
              <w:rPr>
                <w:rFonts w:eastAsia="Times New Roman" w:cs="Calibri"/>
                <w:color w:val="000000"/>
                <w:lang w:eastAsia="en-IN"/>
              </w:rPr>
            </w:pPr>
            <w:r w:rsidRPr="005062AF">
              <w:rPr>
                <w:rFonts w:eastAsia="Times New Roman" w:cs="Calibri"/>
                <w:color w:val="000000"/>
                <w:lang w:eastAsia="en-IN"/>
              </w:rPr>
              <w:t>56%</w:t>
            </w:r>
          </w:p>
        </w:tc>
        <w:tc>
          <w:tcPr>
            <w:tcW w:w="1560" w:type="dxa"/>
            <w:noWrap/>
            <w:hideMark/>
          </w:tcPr>
          <w:p w14:paraId="3A369BF7" w14:textId="77777777" w:rsidR="00510DF8" w:rsidRPr="005062AF" w:rsidRDefault="00510DF8" w:rsidP="002F3C79">
            <w:pPr>
              <w:spacing w:after="0" w:line="240" w:lineRule="auto"/>
              <w:jc w:val="right"/>
              <w:rPr>
                <w:rFonts w:eastAsia="Times New Roman" w:cs="Calibri"/>
                <w:color w:val="000000"/>
                <w:lang w:eastAsia="en-IN"/>
              </w:rPr>
            </w:pPr>
            <w:r w:rsidRPr="005062AF">
              <w:rPr>
                <w:rFonts w:eastAsia="Times New Roman" w:cs="Calibri"/>
                <w:color w:val="000000"/>
                <w:lang w:eastAsia="en-IN"/>
              </w:rPr>
              <w:t>157%</w:t>
            </w:r>
          </w:p>
        </w:tc>
      </w:tr>
    </w:tbl>
    <w:p w14:paraId="0DA1AB9C" w14:textId="77777777" w:rsidR="00510DF8" w:rsidRPr="005062AF" w:rsidRDefault="00510DF8" w:rsidP="00510DF8">
      <w:pPr>
        <w:jc w:val="both"/>
        <w:rPr>
          <w:b/>
          <w:highlight w:val="yellow"/>
        </w:rPr>
      </w:pPr>
    </w:p>
    <w:p w14:paraId="13552616" w14:textId="03935ED9" w:rsidR="00DB377F" w:rsidRPr="005062AF" w:rsidRDefault="004E29F9" w:rsidP="00F535F4">
      <w:pPr>
        <w:jc w:val="both"/>
        <w:rPr>
          <w:bCs/>
        </w:rPr>
      </w:pPr>
      <w:r w:rsidRPr="0095633B">
        <w:rPr>
          <w:bCs/>
        </w:rPr>
        <w:t xml:space="preserve">However, these dynamics altered greatly in 2023. While the total sales achieved in the first nine months of the year stands at 239,252 units which represents a rise of 28% over </w:t>
      </w:r>
      <w:r w:rsidR="00510DF8" w:rsidRPr="0095633B">
        <w:rPr>
          <w:bCs/>
        </w:rPr>
        <w:t xml:space="preserve">2018, the breakup in the categories are remarkably different. The category of less than INR 5 Mn saw decline of 26% in absolute terms over that achieved in 2018. With 74,069 units sold in this category between January – September 2023, it made up 31% of the total sales achieved. The most </w:t>
      </w:r>
      <w:r w:rsidR="000935B6" w:rsidRPr="0095633B">
        <w:rPr>
          <w:bCs/>
        </w:rPr>
        <w:t xml:space="preserve">interesting </w:t>
      </w:r>
      <w:r w:rsidR="00510DF8" w:rsidRPr="0095633B">
        <w:rPr>
          <w:bCs/>
        </w:rPr>
        <w:t>change has been in the INR 10 Mn and above category which when compared to 2018 saw a rise of 157%</w:t>
      </w:r>
      <w:r w:rsidR="000935B6" w:rsidRPr="0095633B">
        <w:rPr>
          <w:bCs/>
        </w:rPr>
        <w:t>,</w:t>
      </w:r>
      <w:r w:rsidR="00510DF8" w:rsidRPr="0095633B">
        <w:rPr>
          <w:bCs/>
        </w:rPr>
        <w:t xml:space="preserve"> selling over 75,000 residential units in the first nine months of </w:t>
      </w:r>
      <w:r w:rsidR="000935B6" w:rsidRPr="0095633B">
        <w:rPr>
          <w:bCs/>
        </w:rPr>
        <w:t>2023</w:t>
      </w:r>
      <w:r w:rsidR="00510DF8" w:rsidRPr="0095633B">
        <w:rPr>
          <w:bCs/>
        </w:rPr>
        <w:t xml:space="preserve">. </w:t>
      </w:r>
      <w:r w:rsidR="00324C58" w:rsidRPr="0095633B">
        <w:rPr>
          <w:b/>
        </w:rPr>
        <w:t xml:space="preserve">For the first time sales in the high-end segment </w:t>
      </w:r>
      <w:r w:rsidR="000935B6" w:rsidRPr="0095633B">
        <w:rPr>
          <w:b/>
        </w:rPr>
        <w:t xml:space="preserve">have </w:t>
      </w:r>
      <w:r w:rsidR="00324C58" w:rsidRPr="0095633B">
        <w:rPr>
          <w:b/>
        </w:rPr>
        <w:t>overtaken sales in the affordable segment</w:t>
      </w:r>
      <w:r w:rsidR="000935B6" w:rsidRPr="0095633B">
        <w:rPr>
          <w:b/>
        </w:rPr>
        <w:t xml:space="preserve">. This is a very significant change depicting that the market has shifted/ </w:t>
      </w:r>
      <w:r w:rsidR="0095633B" w:rsidRPr="0095633B">
        <w:rPr>
          <w:b/>
        </w:rPr>
        <w:t>tilted towards</w:t>
      </w:r>
      <w:r w:rsidR="00324C58" w:rsidRPr="0095633B">
        <w:rPr>
          <w:b/>
        </w:rPr>
        <w:t xml:space="preserve"> higher value properties while the affordable segment languishes due to rising cost factors.  </w:t>
      </w:r>
      <w:r w:rsidR="00510DF8" w:rsidRPr="0095633B">
        <w:rPr>
          <w:bCs/>
        </w:rPr>
        <w:t>The mid segment category of INR 5- 10 mn also records a 56% growth when compared to 2018 with sales of 89,410 units in 2023.</w:t>
      </w:r>
      <w:r w:rsidR="00510DF8">
        <w:rPr>
          <w:bCs/>
        </w:rPr>
        <w:t xml:space="preserve">  </w:t>
      </w:r>
    </w:p>
    <w:p w14:paraId="0F12528D" w14:textId="04C00C64" w:rsidR="00F535F4" w:rsidRPr="00540D9C" w:rsidRDefault="00F535F4" w:rsidP="00F535F4">
      <w:pPr>
        <w:jc w:val="both"/>
        <w:rPr>
          <w:bCs/>
          <w:i/>
          <w:iCs/>
        </w:rPr>
      </w:pPr>
      <w:r w:rsidRPr="00F535F4">
        <w:rPr>
          <w:b/>
        </w:rPr>
        <w:t xml:space="preserve">Shishir Baijal, Chairman and Managing Director of Knight Frank India, remarked, </w:t>
      </w:r>
      <w:r w:rsidRPr="00540D9C">
        <w:rPr>
          <w:bCs/>
          <w:i/>
          <w:iCs/>
        </w:rPr>
        <w:t>"Residential sales continue to gain momentum, reaching multi-year highs. Although inventory levels have seen a significant rise due to developers launching projects to cater to this robust demand, the overall market health is improving, with strong sales velocity. Elevated interest rates and prices have had little impact on higher-ticket-size homebuyers, but the affordable segment has been severely affected, necessitating further interventions to stimulate demand and enhance development viability."</w:t>
      </w:r>
    </w:p>
    <w:p w14:paraId="20FD0DB4" w14:textId="669AF7B3" w:rsidR="009701AB" w:rsidRDefault="00F535F4">
      <w:pPr>
        <w:jc w:val="both"/>
        <w:rPr>
          <w:bCs/>
          <w:i/>
          <w:iCs/>
        </w:rPr>
      </w:pPr>
      <w:r>
        <w:rPr>
          <w:b/>
        </w:rPr>
        <w:t xml:space="preserve">Shishir further added, </w:t>
      </w:r>
      <w:r w:rsidR="00063685">
        <w:rPr>
          <w:b/>
        </w:rPr>
        <w:t>“</w:t>
      </w:r>
      <w:r w:rsidR="00063685" w:rsidRPr="00063685">
        <w:rPr>
          <w:bCs/>
          <w:i/>
          <w:iCs/>
        </w:rPr>
        <w:t>While we celebrate overall residential market growth, concerns arise, notably in the affordable segment, which has seen a steady decline in Q3 2023. Economic turbulence in recent quarters hit lower-income consumers, affecting segment</w:t>
      </w:r>
      <w:r w:rsidR="00063685">
        <w:rPr>
          <w:bCs/>
          <w:i/>
          <w:iCs/>
        </w:rPr>
        <w:t>s</w:t>
      </w:r>
      <w:r w:rsidR="00063685" w:rsidRPr="00063685">
        <w:rPr>
          <w:bCs/>
          <w:i/>
          <w:iCs/>
        </w:rPr>
        <w:t xml:space="preserve"> like rural consumption and </w:t>
      </w:r>
      <w:r w:rsidR="00063685">
        <w:rPr>
          <w:bCs/>
          <w:i/>
          <w:iCs/>
        </w:rPr>
        <w:t xml:space="preserve">lower end of </w:t>
      </w:r>
      <w:r w:rsidR="00063685" w:rsidRPr="00063685">
        <w:rPr>
          <w:bCs/>
          <w:i/>
          <w:iCs/>
        </w:rPr>
        <w:t>passenger vehicles</w:t>
      </w:r>
      <w:r w:rsidR="00063685">
        <w:rPr>
          <w:bCs/>
          <w:i/>
          <w:iCs/>
        </w:rPr>
        <w:t xml:space="preserve"> sales</w:t>
      </w:r>
      <w:r w:rsidR="00063685" w:rsidRPr="00063685">
        <w:rPr>
          <w:bCs/>
          <w:i/>
          <w:iCs/>
        </w:rPr>
        <w:t xml:space="preserve">. This decline </w:t>
      </w:r>
      <w:r w:rsidR="00063685">
        <w:rPr>
          <w:bCs/>
          <w:i/>
          <w:iCs/>
        </w:rPr>
        <w:t xml:space="preserve">in affordable housing segment </w:t>
      </w:r>
      <w:r w:rsidR="00063685" w:rsidRPr="00063685">
        <w:rPr>
          <w:bCs/>
          <w:i/>
          <w:iCs/>
        </w:rPr>
        <w:t xml:space="preserve">is worrisome because it's </w:t>
      </w:r>
      <w:r w:rsidR="00063685">
        <w:rPr>
          <w:bCs/>
          <w:i/>
          <w:iCs/>
        </w:rPr>
        <w:t xml:space="preserve">been </w:t>
      </w:r>
      <w:r w:rsidR="00063685" w:rsidRPr="00063685">
        <w:rPr>
          <w:bCs/>
          <w:i/>
          <w:iCs/>
        </w:rPr>
        <w:t>the largest buying segment, crucial for long-term industry growth. Prolonged slowdown could harm the real estate sector</w:t>
      </w:r>
      <w:r w:rsidR="00063685">
        <w:rPr>
          <w:bCs/>
          <w:i/>
          <w:iCs/>
        </w:rPr>
        <w:t xml:space="preserve"> in the long-term</w:t>
      </w:r>
      <w:r w:rsidR="00063685" w:rsidRPr="00063685">
        <w:rPr>
          <w:bCs/>
          <w:i/>
          <w:iCs/>
        </w:rPr>
        <w:t>.</w:t>
      </w:r>
      <w:r w:rsidR="00063685">
        <w:rPr>
          <w:bCs/>
          <w:i/>
          <w:iCs/>
        </w:rPr>
        <w:t xml:space="preserve"> Therefore, s</w:t>
      </w:r>
      <w:r w:rsidR="00063685" w:rsidRPr="00063685">
        <w:rPr>
          <w:bCs/>
          <w:i/>
          <w:iCs/>
        </w:rPr>
        <w:t>takeholders must reconsider strategies to revive the affordable segment and maintain its momentum.</w:t>
      </w:r>
      <w:r w:rsidR="00F858F5">
        <w:rPr>
          <w:bCs/>
          <w:i/>
          <w:iCs/>
        </w:rPr>
        <w:t>”</w:t>
      </w:r>
    </w:p>
    <w:p w14:paraId="429C9FB5" w14:textId="77777777" w:rsidR="00F858F5" w:rsidRDefault="00F858F5">
      <w:pPr>
        <w:jc w:val="both"/>
      </w:pPr>
    </w:p>
    <w:tbl>
      <w:tblPr>
        <w:tblStyle w:val="TableGrid"/>
        <w:tblW w:w="0" w:type="auto"/>
        <w:shd w:val="clear" w:color="auto" w:fill="C00000"/>
        <w:tblLook w:val="04A0" w:firstRow="1" w:lastRow="0" w:firstColumn="1" w:lastColumn="0" w:noHBand="0" w:noVBand="1"/>
      </w:tblPr>
      <w:tblGrid>
        <w:gridCol w:w="9016"/>
      </w:tblGrid>
      <w:tr w:rsidR="009701AB" w14:paraId="49002077" w14:textId="77777777">
        <w:tc>
          <w:tcPr>
            <w:tcW w:w="9016" w:type="dxa"/>
            <w:shd w:val="clear" w:color="auto" w:fill="C00000"/>
          </w:tcPr>
          <w:p w14:paraId="270369D7" w14:textId="3B737D1F" w:rsidR="009701AB" w:rsidRDefault="002906FF">
            <w:pPr>
              <w:spacing w:after="0" w:line="240" w:lineRule="auto"/>
              <w:rPr>
                <w:b/>
                <w:bCs/>
                <w:color w:val="FFFFFF" w:themeColor="background1"/>
              </w:rPr>
            </w:pPr>
            <w:r>
              <w:rPr>
                <w:b/>
                <w:bCs/>
                <w:color w:val="FFFFFF" w:themeColor="background1"/>
              </w:rPr>
              <w:t xml:space="preserve"> Residential price appreciation observed fo</w:t>
            </w:r>
            <w:r w:rsidR="00D46A1D">
              <w:rPr>
                <w:b/>
                <w:bCs/>
                <w:color w:val="FFFFFF" w:themeColor="background1"/>
              </w:rPr>
              <w:t>r</w:t>
            </w:r>
            <w:r>
              <w:rPr>
                <w:b/>
                <w:bCs/>
                <w:color w:val="FFFFFF" w:themeColor="background1"/>
              </w:rPr>
              <w:t xml:space="preserve"> all the leading eight markets</w:t>
            </w:r>
          </w:p>
        </w:tc>
      </w:tr>
    </w:tbl>
    <w:p w14:paraId="24EA5A63" w14:textId="7F2F0EE3" w:rsidR="009701AB" w:rsidRPr="00F858F5" w:rsidRDefault="002906FF">
      <w:pPr>
        <w:jc w:val="both"/>
      </w:pPr>
      <w:r>
        <w:t>The weighted average price</w:t>
      </w:r>
      <w:r w:rsidR="005620F5">
        <w:t xml:space="preserve">s have appreciated for all </w:t>
      </w:r>
      <w:r>
        <w:t xml:space="preserve">the leading eight markets in tandem with demand </w:t>
      </w:r>
      <w:r w:rsidR="005620F5">
        <w:t xml:space="preserve">growth </w:t>
      </w:r>
      <w:r>
        <w:t xml:space="preserve">in YoY terms. Price levels in Hyderabad saw the most significant rise at 11% YoY as focus increasingly shifts toward the development of premium high-rise properties. Mumbai continues to be the most expensive market </w:t>
      </w:r>
      <w:r w:rsidR="005620F5">
        <w:t xml:space="preserve">at </w:t>
      </w:r>
      <w:r>
        <w:t>INR 7600</w:t>
      </w:r>
      <w:r w:rsidR="00B67A3D">
        <w:t>/</w:t>
      </w:r>
      <w:proofErr w:type="spellStart"/>
      <w:r w:rsidR="00B67A3D">
        <w:t>sq</w:t>
      </w:r>
      <w:proofErr w:type="spellEnd"/>
      <w:r w:rsidR="00B67A3D">
        <w:t xml:space="preserve"> ft</w:t>
      </w:r>
      <w:r w:rsidRPr="00F858F5">
        <w:t>.</w:t>
      </w:r>
    </w:p>
    <w:p w14:paraId="6C52E0FE" w14:textId="77777777" w:rsidR="0095633B" w:rsidRDefault="0095633B">
      <w:pPr>
        <w:spacing w:line="360" w:lineRule="auto"/>
        <w:jc w:val="center"/>
        <w:rPr>
          <w:b/>
          <w:sz w:val="24"/>
        </w:rPr>
      </w:pPr>
    </w:p>
    <w:p w14:paraId="6A5EAE04" w14:textId="77777777" w:rsidR="0095633B" w:rsidRDefault="0095633B">
      <w:pPr>
        <w:spacing w:line="360" w:lineRule="auto"/>
        <w:jc w:val="center"/>
        <w:rPr>
          <w:b/>
          <w:sz w:val="24"/>
        </w:rPr>
      </w:pPr>
    </w:p>
    <w:p w14:paraId="30CA0F81" w14:textId="77777777" w:rsidR="0095633B" w:rsidRDefault="0095633B">
      <w:pPr>
        <w:spacing w:line="360" w:lineRule="auto"/>
        <w:jc w:val="center"/>
        <w:rPr>
          <w:b/>
          <w:sz w:val="24"/>
        </w:rPr>
      </w:pPr>
    </w:p>
    <w:p w14:paraId="4D9A43AF" w14:textId="4D46D0EE" w:rsidR="009701AB" w:rsidRDefault="002906FF">
      <w:pPr>
        <w:spacing w:line="360" w:lineRule="auto"/>
        <w:jc w:val="center"/>
        <w:rPr>
          <w:b/>
          <w:sz w:val="24"/>
        </w:rPr>
      </w:pPr>
      <w:r>
        <w:rPr>
          <w:b/>
          <w:sz w:val="24"/>
        </w:rPr>
        <w:lastRenderedPageBreak/>
        <w:t>Average price change across markets during Q3 2023</w:t>
      </w:r>
    </w:p>
    <w:tbl>
      <w:tblPr>
        <w:tblW w:w="4142" w:type="dxa"/>
        <w:jc w:val="center"/>
        <w:tblLook w:val="04A0" w:firstRow="1" w:lastRow="0" w:firstColumn="1" w:lastColumn="0" w:noHBand="0" w:noVBand="1"/>
      </w:tblPr>
      <w:tblGrid>
        <w:gridCol w:w="1329"/>
        <w:gridCol w:w="960"/>
        <w:gridCol w:w="960"/>
        <w:gridCol w:w="893"/>
      </w:tblGrid>
      <w:tr w:rsidR="005620F5" w14:paraId="20E5D78B" w14:textId="77777777" w:rsidTr="00540D9C">
        <w:trPr>
          <w:trHeight w:val="600"/>
          <w:jc w:val="center"/>
        </w:trPr>
        <w:tc>
          <w:tcPr>
            <w:tcW w:w="1329"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3223617F" w14:textId="77777777" w:rsidR="005620F5" w:rsidRDefault="005620F5">
            <w:pPr>
              <w:spacing w:after="0" w:line="240" w:lineRule="auto"/>
              <w:rPr>
                <w:rFonts w:ascii="Calibri" w:eastAsia="Times New Roman" w:hAnsi="Calibri" w:cs="Calibri"/>
                <w:b/>
                <w:color w:val="FFFFFF" w:themeColor="background1"/>
                <w:sz w:val="20"/>
                <w:lang w:eastAsia="en-IN"/>
              </w:rPr>
            </w:pPr>
            <w:r>
              <w:rPr>
                <w:rFonts w:ascii="Calibri" w:eastAsia="Times New Roman" w:hAnsi="Calibri" w:cs="Calibri"/>
                <w:b/>
                <w:color w:val="FFFFFF" w:themeColor="background1"/>
                <w:sz w:val="20"/>
                <w:lang w:val="en-GB" w:eastAsia="en-IN"/>
              </w:rPr>
              <w:t> Market</w:t>
            </w:r>
          </w:p>
        </w:tc>
        <w:tc>
          <w:tcPr>
            <w:tcW w:w="960" w:type="dxa"/>
            <w:tcBorders>
              <w:top w:val="single" w:sz="4" w:space="0" w:color="auto"/>
              <w:left w:val="nil"/>
              <w:bottom w:val="single" w:sz="4" w:space="0" w:color="auto"/>
              <w:right w:val="single" w:sz="4" w:space="0" w:color="auto"/>
            </w:tcBorders>
            <w:shd w:val="clear" w:color="auto" w:fill="C00000"/>
          </w:tcPr>
          <w:p w14:paraId="16710372" w14:textId="4B5B0982" w:rsidR="005620F5" w:rsidRDefault="005620F5">
            <w:pPr>
              <w:spacing w:after="0" w:line="240" w:lineRule="auto"/>
              <w:jc w:val="center"/>
              <w:rPr>
                <w:rFonts w:ascii="Calibri" w:eastAsia="Times New Roman" w:hAnsi="Calibri" w:cs="Calibri"/>
                <w:b/>
                <w:bCs/>
                <w:color w:val="FFFFFF" w:themeColor="background1"/>
                <w:sz w:val="20"/>
                <w:lang w:val="en-GB" w:eastAsia="en-IN"/>
              </w:rPr>
            </w:pPr>
            <w:r>
              <w:rPr>
                <w:rFonts w:ascii="Calibri" w:eastAsia="Times New Roman" w:hAnsi="Calibri" w:cs="Calibri"/>
                <w:b/>
                <w:bCs/>
                <w:color w:val="FFFFFF" w:themeColor="background1"/>
                <w:sz w:val="20"/>
                <w:lang w:val="en-GB" w:eastAsia="en-IN"/>
              </w:rPr>
              <w:t>Price/</w:t>
            </w:r>
            <w:proofErr w:type="spellStart"/>
            <w:r w:rsidR="00B67A3D">
              <w:rPr>
                <w:rFonts w:ascii="Calibri" w:eastAsia="Times New Roman" w:hAnsi="Calibri" w:cs="Calibri"/>
                <w:b/>
                <w:bCs/>
                <w:color w:val="FFFFFF" w:themeColor="background1"/>
                <w:sz w:val="20"/>
                <w:lang w:val="en-GB" w:eastAsia="en-IN"/>
              </w:rPr>
              <w:t>sq</w:t>
            </w:r>
            <w:proofErr w:type="spellEnd"/>
            <w:r w:rsidR="00B67A3D">
              <w:rPr>
                <w:rFonts w:ascii="Calibri" w:eastAsia="Times New Roman" w:hAnsi="Calibri" w:cs="Calibri"/>
                <w:b/>
                <w:bCs/>
                <w:color w:val="FFFFFF" w:themeColor="background1"/>
                <w:sz w:val="20"/>
                <w:lang w:val="en-GB" w:eastAsia="en-IN"/>
              </w:rPr>
              <w:t xml:space="preserve"> ft</w:t>
            </w:r>
          </w:p>
        </w:tc>
        <w:tc>
          <w:tcPr>
            <w:tcW w:w="960"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12602593" w14:textId="24E59425" w:rsidR="005620F5" w:rsidRDefault="005620F5">
            <w:pPr>
              <w:spacing w:after="0" w:line="240" w:lineRule="auto"/>
              <w:jc w:val="center"/>
              <w:rPr>
                <w:rFonts w:ascii="Calibri" w:eastAsia="Times New Roman" w:hAnsi="Calibri" w:cs="Calibri"/>
                <w:b/>
                <w:bCs/>
                <w:color w:val="FFFFFF" w:themeColor="background1"/>
                <w:sz w:val="20"/>
                <w:lang w:eastAsia="en-IN"/>
              </w:rPr>
            </w:pPr>
            <w:r>
              <w:rPr>
                <w:rFonts w:ascii="Calibri" w:eastAsia="Times New Roman" w:hAnsi="Calibri" w:cs="Calibri"/>
                <w:b/>
                <w:bCs/>
                <w:color w:val="FFFFFF" w:themeColor="background1"/>
                <w:sz w:val="20"/>
                <w:lang w:val="en-GB" w:eastAsia="en-IN"/>
              </w:rPr>
              <w:t>YoY Change</w:t>
            </w:r>
          </w:p>
        </w:tc>
        <w:tc>
          <w:tcPr>
            <w:tcW w:w="893" w:type="dxa"/>
            <w:tcBorders>
              <w:top w:val="single" w:sz="4" w:space="0" w:color="auto"/>
              <w:left w:val="nil"/>
              <w:bottom w:val="single" w:sz="4" w:space="0" w:color="auto"/>
              <w:right w:val="single" w:sz="4" w:space="0" w:color="auto"/>
            </w:tcBorders>
            <w:shd w:val="clear" w:color="auto" w:fill="C00000"/>
            <w:vAlign w:val="center"/>
          </w:tcPr>
          <w:p w14:paraId="0D8E231D" w14:textId="77777777" w:rsidR="005620F5" w:rsidRDefault="005620F5">
            <w:pPr>
              <w:spacing w:after="0" w:line="240" w:lineRule="auto"/>
              <w:jc w:val="center"/>
              <w:rPr>
                <w:rFonts w:ascii="Calibri" w:eastAsia="Times New Roman" w:hAnsi="Calibri" w:cs="Calibri"/>
                <w:b/>
                <w:bCs/>
                <w:color w:val="FFFFFF" w:themeColor="background1"/>
                <w:sz w:val="20"/>
                <w:lang w:eastAsia="en-IN"/>
              </w:rPr>
            </w:pPr>
            <w:proofErr w:type="spellStart"/>
            <w:r>
              <w:rPr>
                <w:rFonts w:ascii="Calibri" w:eastAsia="Times New Roman" w:hAnsi="Calibri" w:cs="Calibri"/>
                <w:b/>
                <w:bCs/>
                <w:color w:val="FFFFFF" w:themeColor="background1"/>
                <w:sz w:val="20"/>
                <w:lang w:eastAsia="en-IN"/>
              </w:rPr>
              <w:t>QoQ</w:t>
            </w:r>
            <w:proofErr w:type="spellEnd"/>
            <w:r>
              <w:rPr>
                <w:rFonts w:ascii="Calibri" w:eastAsia="Times New Roman" w:hAnsi="Calibri" w:cs="Calibri"/>
                <w:b/>
                <w:bCs/>
                <w:color w:val="FFFFFF" w:themeColor="background1"/>
                <w:sz w:val="20"/>
                <w:lang w:eastAsia="en-IN"/>
              </w:rPr>
              <w:t xml:space="preserve"> Change</w:t>
            </w:r>
          </w:p>
        </w:tc>
      </w:tr>
      <w:tr w:rsidR="005620F5" w14:paraId="2F653C41" w14:textId="77777777" w:rsidTr="00540D9C">
        <w:trPr>
          <w:trHeight w:val="300"/>
          <w:jc w:val="center"/>
        </w:trPr>
        <w:tc>
          <w:tcPr>
            <w:tcW w:w="1329" w:type="dxa"/>
            <w:tcBorders>
              <w:top w:val="nil"/>
              <w:left w:val="single" w:sz="4" w:space="0" w:color="auto"/>
              <w:bottom w:val="single" w:sz="4" w:space="0" w:color="auto"/>
              <w:right w:val="single" w:sz="4" w:space="0" w:color="auto"/>
            </w:tcBorders>
            <w:noWrap/>
            <w:vAlign w:val="center"/>
          </w:tcPr>
          <w:p w14:paraId="2C8AB854" w14:textId="77777777" w:rsidR="005620F5" w:rsidRDefault="005620F5" w:rsidP="005620F5">
            <w:pPr>
              <w:spacing w:after="0" w:line="240" w:lineRule="auto"/>
              <w:rPr>
                <w:rFonts w:ascii="Calibri" w:eastAsia="Times New Roman" w:hAnsi="Calibri" w:cs="Calibri"/>
                <w:bCs/>
                <w:color w:val="000000"/>
                <w:sz w:val="20"/>
                <w:lang w:eastAsia="en-IN"/>
              </w:rPr>
            </w:pPr>
            <w:r>
              <w:rPr>
                <w:rFonts w:ascii="Calibri" w:hAnsi="Calibri" w:cs="Calibri"/>
                <w:bCs/>
                <w:color w:val="000000"/>
                <w:sz w:val="20"/>
              </w:rPr>
              <w:t>Hyderabad</w:t>
            </w:r>
          </w:p>
        </w:tc>
        <w:tc>
          <w:tcPr>
            <w:tcW w:w="960" w:type="dxa"/>
            <w:tcBorders>
              <w:top w:val="single" w:sz="4" w:space="0" w:color="auto"/>
              <w:left w:val="nil"/>
              <w:bottom w:val="single" w:sz="4" w:space="0" w:color="auto"/>
              <w:right w:val="single" w:sz="4" w:space="0" w:color="auto"/>
            </w:tcBorders>
            <w:vAlign w:val="bottom"/>
          </w:tcPr>
          <w:p w14:paraId="2BF93B9F" w14:textId="7324DC13" w:rsidR="005620F5" w:rsidRDefault="005620F5" w:rsidP="005620F5">
            <w:pPr>
              <w:spacing w:after="0" w:line="240" w:lineRule="auto"/>
              <w:jc w:val="center"/>
              <w:rPr>
                <w:rFonts w:ascii="Calibri" w:hAnsi="Calibri" w:cs="Calibri"/>
                <w:color w:val="000000"/>
                <w:sz w:val="20"/>
              </w:rPr>
            </w:pPr>
            <w:r>
              <w:rPr>
                <w:rFonts w:ascii="Calibri" w:hAnsi="Calibri" w:cs="Calibri"/>
                <w:color w:val="000000"/>
              </w:rPr>
              <w:t>5,518</w:t>
            </w:r>
          </w:p>
        </w:tc>
        <w:tc>
          <w:tcPr>
            <w:tcW w:w="960" w:type="dxa"/>
            <w:tcBorders>
              <w:top w:val="single" w:sz="4" w:space="0" w:color="auto"/>
              <w:left w:val="single" w:sz="4" w:space="0" w:color="auto"/>
              <w:bottom w:val="single" w:sz="4" w:space="0" w:color="auto"/>
              <w:right w:val="single" w:sz="4" w:space="0" w:color="auto"/>
            </w:tcBorders>
            <w:noWrap/>
            <w:vAlign w:val="center"/>
          </w:tcPr>
          <w:p w14:paraId="60CE3745" w14:textId="089DE224"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11%</w:t>
            </w:r>
          </w:p>
        </w:tc>
        <w:tc>
          <w:tcPr>
            <w:tcW w:w="893" w:type="dxa"/>
            <w:tcBorders>
              <w:top w:val="nil"/>
              <w:left w:val="nil"/>
              <w:bottom w:val="single" w:sz="4" w:space="0" w:color="auto"/>
              <w:right w:val="single" w:sz="4" w:space="0" w:color="auto"/>
            </w:tcBorders>
            <w:vAlign w:val="center"/>
          </w:tcPr>
          <w:p w14:paraId="622B3A37" w14:textId="77777777"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2%</w:t>
            </w:r>
          </w:p>
        </w:tc>
      </w:tr>
      <w:tr w:rsidR="005620F5" w14:paraId="378DE5EB" w14:textId="77777777" w:rsidTr="00540D9C">
        <w:trPr>
          <w:trHeight w:val="300"/>
          <w:jc w:val="center"/>
        </w:trPr>
        <w:tc>
          <w:tcPr>
            <w:tcW w:w="1329" w:type="dxa"/>
            <w:tcBorders>
              <w:top w:val="nil"/>
              <w:left w:val="single" w:sz="4" w:space="0" w:color="auto"/>
              <w:bottom w:val="single" w:sz="4" w:space="0" w:color="auto"/>
              <w:right w:val="single" w:sz="4" w:space="0" w:color="auto"/>
            </w:tcBorders>
            <w:noWrap/>
            <w:vAlign w:val="center"/>
          </w:tcPr>
          <w:p w14:paraId="59C54F25" w14:textId="77777777" w:rsidR="005620F5" w:rsidRDefault="005620F5" w:rsidP="005620F5">
            <w:pPr>
              <w:spacing w:after="0" w:line="240" w:lineRule="auto"/>
              <w:rPr>
                <w:rFonts w:ascii="Calibri" w:eastAsia="Times New Roman" w:hAnsi="Calibri" w:cs="Calibri"/>
                <w:bCs/>
                <w:color w:val="000000"/>
                <w:sz w:val="20"/>
                <w:lang w:eastAsia="en-IN"/>
              </w:rPr>
            </w:pPr>
            <w:r>
              <w:rPr>
                <w:rFonts w:ascii="Calibri" w:hAnsi="Calibri" w:cs="Calibri"/>
                <w:bCs/>
                <w:color w:val="000000"/>
                <w:sz w:val="20"/>
              </w:rPr>
              <w:t>Kolkata</w:t>
            </w:r>
          </w:p>
        </w:tc>
        <w:tc>
          <w:tcPr>
            <w:tcW w:w="960" w:type="dxa"/>
            <w:tcBorders>
              <w:top w:val="single" w:sz="4" w:space="0" w:color="auto"/>
              <w:left w:val="nil"/>
              <w:bottom w:val="single" w:sz="4" w:space="0" w:color="auto"/>
              <w:right w:val="single" w:sz="4" w:space="0" w:color="auto"/>
            </w:tcBorders>
            <w:vAlign w:val="bottom"/>
          </w:tcPr>
          <w:p w14:paraId="740A2122" w14:textId="1E903DF6" w:rsidR="005620F5" w:rsidRDefault="005620F5" w:rsidP="005620F5">
            <w:pPr>
              <w:spacing w:after="0" w:line="240" w:lineRule="auto"/>
              <w:jc w:val="center"/>
              <w:rPr>
                <w:rFonts w:ascii="Calibri" w:hAnsi="Calibri" w:cs="Calibri"/>
                <w:color w:val="000000"/>
                <w:sz w:val="20"/>
              </w:rPr>
            </w:pPr>
            <w:r>
              <w:rPr>
                <w:rFonts w:ascii="Calibri" w:hAnsi="Calibri" w:cs="Calibri"/>
                <w:color w:val="000000"/>
              </w:rPr>
              <w:t>3,585</w:t>
            </w:r>
          </w:p>
        </w:tc>
        <w:tc>
          <w:tcPr>
            <w:tcW w:w="960" w:type="dxa"/>
            <w:tcBorders>
              <w:top w:val="single" w:sz="4" w:space="0" w:color="auto"/>
              <w:left w:val="single" w:sz="4" w:space="0" w:color="auto"/>
              <w:bottom w:val="single" w:sz="4" w:space="0" w:color="auto"/>
              <w:right w:val="single" w:sz="4" w:space="0" w:color="auto"/>
            </w:tcBorders>
            <w:noWrap/>
            <w:vAlign w:val="center"/>
          </w:tcPr>
          <w:p w14:paraId="017A2DDD" w14:textId="1371139D"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7%</w:t>
            </w:r>
          </w:p>
        </w:tc>
        <w:tc>
          <w:tcPr>
            <w:tcW w:w="893" w:type="dxa"/>
            <w:tcBorders>
              <w:top w:val="nil"/>
              <w:left w:val="nil"/>
              <w:bottom w:val="single" w:sz="4" w:space="0" w:color="auto"/>
              <w:right w:val="single" w:sz="4" w:space="0" w:color="auto"/>
            </w:tcBorders>
            <w:vAlign w:val="center"/>
          </w:tcPr>
          <w:p w14:paraId="473E2E95" w14:textId="77777777"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5%</w:t>
            </w:r>
          </w:p>
        </w:tc>
      </w:tr>
      <w:tr w:rsidR="005620F5" w14:paraId="71D602C8" w14:textId="77777777" w:rsidTr="00540D9C">
        <w:trPr>
          <w:trHeight w:val="300"/>
          <w:jc w:val="center"/>
        </w:trPr>
        <w:tc>
          <w:tcPr>
            <w:tcW w:w="1329" w:type="dxa"/>
            <w:tcBorders>
              <w:top w:val="nil"/>
              <w:left w:val="single" w:sz="4" w:space="0" w:color="auto"/>
              <w:bottom w:val="single" w:sz="4" w:space="0" w:color="auto"/>
              <w:right w:val="single" w:sz="4" w:space="0" w:color="auto"/>
            </w:tcBorders>
            <w:noWrap/>
            <w:vAlign w:val="center"/>
          </w:tcPr>
          <w:p w14:paraId="59BA3ADE" w14:textId="77777777" w:rsidR="005620F5" w:rsidRDefault="005620F5" w:rsidP="005620F5">
            <w:pPr>
              <w:spacing w:after="0" w:line="240" w:lineRule="auto"/>
              <w:rPr>
                <w:rFonts w:ascii="Calibri" w:eastAsia="Times New Roman" w:hAnsi="Calibri" w:cs="Calibri"/>
                <w:bCs/>
                <w:color w:val="000000"/>
                <w:sz w:val="20"/>
                <w:lang w:eastAsia="en-IN"/>
              </w:rPr>
            </w:pPr>
            <w:r>
              <w:rPr>
                <w:rFonts w:ascii="Calibri" w:hAnsi="Calibri" w:cs="Calibri"/>
                <w:bCs/>
                <w:color w:val="000000"/>
                <w:sz w:val="20"/>
              </w:rPr>
              <w:t>Bengaluru</w:t>
            </w:r>
          </w:p>
        </w:tc>
        <w:tc>
          <w:tcPr>
            <w:tcW w:w="960" w:type="dxa"/>
            <w:tcBorders>
              <w:top w:val="single" w:sz="4" w:space="0" w:color="auto"/>
              <w:left w:val="nil"/>
              <w:bottom w:val="single" w:sz="4" w:space="0" w:color="auto"/>
              <w:right w:val="single" w:sz="4" w:space="0" w:color="auto"/>
            </w:tcBorders>
            <w:vAlign w:val="bottom"/>
          </w:tcPr>
          <w:p w14:paraId="54E3825A" w14:textId="1314A2A8" w:rsidR="005620F5" w:rsidRDefault="005620F5" w:rsidP="005620F5">
            <w:pPr>
              <w:spacing w:after="0" w:line="240" w:lineRule="auto"/>
              <w:jc w:val="center"/>
              <w:rPr>
                <w:rFonts w:ascii="Calibri" w:hAnsi="Calibri" w:cs="Calibri"/>
                <w:color w:val="000000"/>
                <w:sz w:val="20"/>
              </w:rPr>
            </w:pPr>
            <w:r>
              <w:rPr>
                <w:rFonts w:ascii="Calibri" w:hAnsi="Calibri" w:cs="Calibri"/>
                <w:color w:val="000000"/>
              </w:rPr>
              <w:t>5,756</w:t>
            </w:r>
          </w:p>
        </w:tc>
        <w:tc>
          <w:tcPr>
            <w:tcW w:w="960" w:type="dxa"/>
            <w:tcBorders>
              <w:top w:val="single" w:sz="4" w:space="0" w:color="auto"/>
              <w:left w:val="single" w:sz="4" w:space="0" w:color="auto"/>
              <w:bottom w:val="single" w:sz="4" w:space="0" w:color="auto"/>
              <w:right w:val="single" w:sz="4" w:space="0" w:color="auto"/>
            </w:tcBorders>
            <w:noWrap/>
            <w:vAlign w:val="center"/>
          </w:tcPr>
          <w:p w14:paraId="58712FF6" w14:textId="43A610E9"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6%</w:t>
            </w:r>
          </w:p>
        </w:tc>
        <w:tc>
          <w:tcPr>
            <w:tcW w:w="893" w:type="dxa"/>
            <w:tcBorders>
              <w:top w:val="nil"/>
              <w:left w:val="nil"/>
              <w:bottom w:val="single" w:sz="4" w:space="0" w:color="auto"/>
              <w:right w:val="single" w:sz="4" w:space="0" w:color="auto"/>
            </w:tcBorders>
            <w:vAlign w:val="center"/>
          </w:tcPr>
          <w:p w14:paraId="0949DDFE" w14:textId="77777777"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2%</w:t>
            </w:r>
          </w:p>
        </w:tc>
      </w:tr>
      <w:tr w:rsidR="005620F5" w14:paraId="23EC7D44" w14:textId="77777777" w:rsidTr="00540D9C">
        <w:trPr>
          <w:trHeight w:val="300"/>
          <w:jc w:val="center"/>
        </w:trPr>
        <w:tc>
          <w:tcPr>
            <w:tcW w:w="1329" w:type="dxa"/>
            <w:tcBorders>
              <w:top w:val="nil"/>
              <w:left w:val="single" w:sz="4" w:space="0" w:color="auto"/>
              <w:bottom w:val="single" w:sz="4" w:space="0" w:color="auto"/>
              <w:right w:val="single" w:sz="4" w:space="0" w:color="auto"/>
            </w:tcBorders>
            <w:noWrap/>
            <w:vAlign w:val="center"/>
          </w:tcPr>
          <w:p w14:paraId="3A35A49F" w14:textId="77777777" w:rsidR="005620F5" w:rsidRDefault="005620F5" w:rsidP="005620F5">
            <w:pPr>
              <w:spacing w:after="0" w:line="240" w:lineRule="auto"/>
              <w:rPr>
                <w:rFonts w:ascii="Calibri" w:eastAsia="Times New Roman" w:hAnsi="Calibri" w:cs="Calibri"/>
                <w:bCs/>
                <w:color w:val="000000"/>
                <w:sz w:val="20"/>
                <w:lang w:eastAsia="en-IN"/>
              </w:rPr>
            </w:pPr>
            <w:r>
              <w:rPr>
                <w:rFonts w:ascii="Calibri" w:hAnsi="Calibri" w:cs="Calibri"/>
                <w:bCs/>
                <w:color w:val="000000"/>
                <w:sz w:val="20"/>
              </w:rPr>
              <w:t>Mumbai</w:t>
            </w:r>
          </w:p>
        </w:tc>
        <w:tc>
          <w:tcPr>
            <w:tcW w:w="960" w:type="dxa"/>
            <w:tcBorders>
              <w:top w:val="single" w:sz="4" w:space="0" w:color="auto"/>
              <w:left w:val="nil"/>
              <w:bottom w:val="single" w:sz="4" w:space="0" w:color="auto"/>
              <w:right w:val="single" w:sz="4" w:space="0" w:color="auto"/>
            </w:tcBorders>
            <w:vAlign w:val="bottom"/>
          </w:tcPr>
          <w:p w14:paraId="771794B1" w14:textId="31A217FB" w:rsidR="005620F5" w:rsidRDefault="005620F5" w:rsidP="005620F5">
            <w:pPr>
              <w:spacing w:after="0" w:line="240" w:lineRule="auto"/>
              <w:jc w:val="center"/>
              <w:rPr>
                <w:rFonts w:ascii="Calibri" w:hAnsi="Calibri" w:cs="Calibri"/>
                <w:color w:val="000000"/>
                <w:sz w:val="20"/>
              </w:rPr>
            </w:pPr>
            <w:r>
              <w:rPr>
                <w:rFonts w:ascii="Calibri" w:hAnsi="Calibri" w:cs="Calibri"/>
                <w:color w:val="000000"/>
              </w:rPr>
              <w:t>7,600</w:t>
            </w:r>
          </w:p>
        </w:tc>
        <w:tc>
          <w:tcPr>
            <w:tcW w:w="960" w:type="dxa"/>
            <w:tcBorders>
              <w:top w:val="single" w:sz="4" w:space="0" w:color="auto"/>
              <w:left w:val="single" w:sz="4" w:space="0" w:color="auto"/>
              <w:bottom w:val="single" w:sz="4" w:space="0" w:color="auto"/>
              <w:right w:val="single" w:sz="4" w:space="0" w:color="auto"/>
            </w:tcBorders>
            <w:noWrap/>
            <w:vAlign w:val="center"/>
          </w:tcPr>
          <w:p w14:paraId="36F94C3E" w14:textId="370C8A04"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6%</w:t>
            </w:r>
          </w:p>
        </w:tc>
        <w:tc>
          <w:tcPr>
            <w:tcW w:w="893" w:type="dxa"/>
            <w:tcBorders>
              <w:top w:val="nil"/>
              <w:left w:val="nil"/>
              <w:bottom w:val="single" w:sz="4" w:space="0" w:color="auto"/>
              <w:right w:val="single" w:sz="4" w:space="0" w:color="auto"/>
            </w:tcBorders>
            <w:vAlign w:val="center"/>
          </w:tcPr>
          <w:p w14:paraId="14EEB041" w14:textId="77777777"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0%</w:t>
            </w:r>
          </w:p>
        </w:tc>
      </w:tr>
      <w:tr w:rsidR="005620F5" w14:paraId="21FC2638" w14:textId="77777777" w:rsidTr="00540D9C">
        <w:trPr>
          <w:trHeight w:val="300"/>
          <w:jc w:val="center"/>
        </w:trPr>
        <w:tc>
          <w:tcPr>
            <w:tcW w:w="1329" w:type="dxa"/>
            <w:tcBorders>
              <w:top w:val="nil"/>
              <w:left w:val="single" w:sz="4" w:space="0" w:color="auto"/>
              <w:bottom w:val="single" w:sz="4" w:space="0" w:color="auto"/>
              <w:right w:val="single" w:sz="4" w:space="0" w:color="auto"/>
            </w:tcBorders>
            <w:noWrap/>
            <w:vAlign w:val="center"/>
          </w:tcPr>
          <w:p w14:paraId="428E5067" w14:textId="77777777" w:rsidR="005620F5" w:rsidRDefault="005620F5" w:rsidP="005620F5">
            <w:pPr>
              <w:spacing w:after="0" w:line="240" w:lineRule="auto"/>
              <w:rPr>
                <w:rFonts w:ascii="Calibri" w:eastAsia="Times New Roman" w:hAnsi="Calibri" w:cs="Calibri"/>
                <w:bCs/>
                <w:color w:val="000000"/>
                <w:sz w:val="20"/>
                <w:lang w:eastAsia="en-IN"/>
              </w:rPr>
            </w:pPr>
            <w:r>
              <w:rPr>
                <w:rFonts w:ascii="Calibri" w:hAnsi="Calibri" w:cs="Calibri"/>
                <w:bCs/>
                <w:color w:val="000000"/>
                <w:sz w:val="20"/>
              </w:rPr>
              <w:t>Pune</w:t>
            </w:r>
          </w:p>
        </w:tc>
        <w:tc>
          <w:tcPr>
            <w:tcW w:w="960" w:type="dxa"/>
            <w:tcBorders>
              <w:top w:val="single" w:sz="4" w:space="0" w:color="auto"/>
              <w:left w:val="nil"/>
              <w:bottom w:val="single" w:sz="4" w:space="0" w:color="auto"/>
              <w:right w:val="single" w:sz="4" w:space="0" w:color="auto"/>
            </w:tcBorders>
            <w:vAlign w:val="bottom"/>
          </w:tcPr>
          <w:p w14:paraId="2852D4C9" w14:textId="09F4D8FD" w:rsidR="005620F5" w:rsidRDefault="005620F5" w:rsidP="005620F5">
            <w:pPr>
              <w:spacing w:after="0" w:line="240" w:lineRule="auto"/>
              <w:jc w:val="center"/>
              <w:rPr>
                <w:rFonts w:ascii="Calibri" w:hAnsi="Calibri" w:cs="Calibri"/>
                <w:color w:val="000000"/>
                <w:sz w:val="20"/>
              </w:rPr>
            </w:pPr>
            <w:r>
              <w:rPr>
                <w:rFonts w:ascii="Calibri" w:hAnsi="Calibri" w:cs="Calibri"/>
                <w:color w:val="000000"/>
              </w:rPr>
              <w:t>4,463</w:t>
            </w:r>
          </w:p>
        </w:tc>
        <w:tc>
          <w:tcPr>
            <w:tcW w:w="960" w:type="dxa"/>
            <w:tcBorders>
              <w:top w:val="single" w:sz="4" w:space="0" w:color="auto"/>
              <w:left w:val="single" w:sz="4" w:space="0" w:color="auto"/>
              <w:bottom w:val="single" w:sz="4" w:space="0" w:color="auto"/>
              <w:right w:val="single" w:sz="4" w:space="0" w:color="auto"/>
            </w:tcBorders>
            <w:noWrap/>
            <w:vAlign w:val="center"/>
          </w:tcPr>
          <w:p w14:paraId="68AF49D2" w14:textId="5EB030F3"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5%</w:t>
            </w:r>
          </w:p>
        </w:tc>
        <w:tc>
          <w:tcPr>
            <w:tcW w:w="893" w:type="dxa"/>
            <w:tcBorders>
              <w:top w:val="nil"/>
              <w:left w:val="nil"/>
              <w:bottom w:val="single" w:sz="4" w:space="0" w:color="auto"/>
              <w:right w:val="single" w:sz="4" w:space="0" w:color="auto"/>
            </w:tcBorders>
            <w:vAlign w:val="center"/>
          </w:tcPr>
          <w:p w14:paraId="27AFE54B" w14:textId="77777777"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2%</w:t>
            </w:r>
          </w:p>
        </w:tc>
      </w:tr>
      <w:tr w:rsidR="005620F5" w14:paraId="4A0FBFDF" w14:textId="77777777" w:rsidTr="00540D9C">
        <w:trPr>
          <w:trHeight w:val="300"/>
          <w:jc w:val="center"/>
        </w:trPr>
        <w:tc>
          <w:tcPr>
            <w:tcW w:w="1329" w:type="dxa"/>
            <w:tcBorders>
              <w:top w:val="nil"/>
              <w:left w:val="single" w:sz="4" w:space="0" w:color="auto"/>
              <w:bottom w:val="single" w:sz="4" w:space="0" w:color="auto"/>
              <w:right w:val="single" w:sz="4" w:space="0" w:color="auto"/>
            </w:tcBorders>
            <w:noWrap/>
            <w:vAlign w:val="center"/>
          </w:tcPr>
          <w:p w14:paraId="6153001E" w14:textId="77777777" w:rsidR="005620F5" w:rsidRDefault="005620F5" w:rsidP="005620F5">
            <w:pPr>
              <w:spacing w:after="0" w:line="240" w:lineRule="auto"/>
              <w:rPr>
                <w:rFonts w:ascii="Calibri" w:eastAsia="Times New Roman" w:hAnsi="Calibri" w:cs="Calibri"/>
                <w:bCs/>
                <w:color w:val="000000"/>
                <w:sz w:val="20"/>
                <w:lang w:eastAsia="en-IN"/>
              </w:rPr>
            </w:pPr>
            <w:r>
              <w:rPr>
                <w:rFonts w:ascii="Calibri" w:hAnsi="Calibri" w:cs="Calibri"/>
                <w:bCs/>
                <w:color w:val="000000"/>
                <w:sz w:val="20"/>
              </w:rPr>
              <w:t>Ahmedabad</w:t>
            </w:r>
          </w:p>
        </w:tc>
        <w:tc>
          <w:tcPr>
            <w:tcW w:w="960" w:type="dxa"/>
            <w:tcBorders>
              <w:top w:val="single" w:sz="4" w:space="0" w:color="auto"/>
              <w:left w:val="nil"/>
              <w:bottom w:val="single" w:sz="4" w:space="0" w:color="auto"/>
              <w:right w:val="single" w:sz="4" w:space="0" w:color="auto"/>
            </w:tcBorders>
            <w:vAlign w:val="bottom"/>
          </w:tcPr>
          <w:p w14:paraId="560C76C2" w14:textId="1E4D0712" w:rsidR="005620F5" w:rsidRDefault="005620F5" w:rsidP="005620F5">
            <w:pPr>
              <w:spacing w:after="0" w:line="240" w:lineRule="auto"/>
              <w:jc w:val="center"/>
              <w:rPr>
                <w:rFonts w:ascii="Calibri" w:hAnsi="Calibri" w:cs="Calibri"/>
                <w:color w:val="000000"/>
                <w:sz w:val="20"/>
              </w:rPr>
            </w:pPr>
            <w:r>
              <w:rPr>
                <w:rFonts w:ascii="Calibri" w:hAnsi="Calibri" w:cs="Calibri"/>
                <w:color w:val="000000"/>
              </w:rPr>
              <w:t>3,012</w:t>
            </w:r>
          </w:p>
        </w:tc>
        <w:tc>
          <w:tcPr>
            <w:tcW w:w="960" w:type="dxa"/>
            <w:tcBorders>
              <w:top w:val="single" w:sz="4" w:space="0" w:color="auto"/>
              <w:left w:val="single" w:sz="4" w:space="0" w:color="auto"/>
              <w:bottom w:val="single" w:sz="4" w:space="0" w:color="auto"/>
              <w:right w:val="single" w:sz="4" w:space="0" w:color="auto"/>
            </w:tcBorders>
            <w:noWrap/>
            <w:vAlign w:val="center"/>
          </w:tcPr>
          <w:p w14:paraId="48386D91" w14:textId="0CB9FC30"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4%</w:t>
            </w:r>
          </w:p>
        </w:tc>
        <w:tc>
          <w:tcPr>
            <w:tcW w:w="893" w:type="dxa"/>
            <w:tcBorders>
              <w:top w:val="nil"/>
              <w:left w:val="nil"/>
              <w:bottom w:val="single" w:sz="4" w:space="0" w:color="auto"/>
              <w:right w:val="single" w:sz="4" w:space="0" w:color="auto"/>
            </w:tcBorders>
            <w:vAlign w:val="center"/>
          </w:tcPr>
          <w:p w14:paraId="37D03861" w14:textId="77777777"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0%</w:t>
            </w:r>
          </w:p>
        </w:tc>
      </w:tr>
      <w:tr w:rsidR="005620F5" w14:paraId="6026EDA4" w14:textId="77777777" w:rsidTr="00540D9C">
        <w:trPr>
          <w:trHeight w:val="300"/>
          <w:jc w:val="center"/>
        </w:trPr>
        <w:tc>
          <w:tcPr>
            <w:tcW w:w="1329" w:type="dxa"/>
            <w:tcBorders>
              <w:top w:val="nil"/>
              <w:left w:val="single" w:sz="4" w:space="0" w:color="auto"/>
              <w:bottom w:val="single" w:sz="4" w:space="0" w:color="auto"/>
              <w:right w:val="single" w:sz="4" w:space="0" w:color="auto"/>
            </w:tcBorders>
            <w:noWrap/>
            <w:vAlign w:val="center"/>
          </w:tcPr>
          <w:p w14:paraId="5940B7A9" w14:textId="77777777" w:rsidR="005620F5" w:rsidRDefault="005620F5" w:rsidP="005620F5">
            <w:pPr>
              <w:spacing w:after="0" w:line="240" w:lineRule="auto"/>
              <w:rPr>
                <w:rFonts w:ascii="Calibri" w:eastAsia="Times New Roman" w:hAnsi="Calibri" w:cs="Calibri"/>
                <w:bCs/>
                <w:color w:val="000000"/>
                <w:sz w:val="20"/>
                <w:lang w:eastAsia="en-IN"/>
              </w:rPr>
            </w:pPr>
            <w:r>
              <w:rPr>
                <w:rFonts w:ascii="Calibri" w:hAnsi="Calibri" w:cs="Calibri"/>
                <w:bCs/>
                <w:color w:val="000000"/>
                <w:sz w:val="20"/>
              </w:rPr>
              <w:t>NCR</w:t>
            </w:r>
          </w:p>
        </w:tc>
        <w:tc>
          <w:tcPr>
            <w:tcW w:w="960" w:type="dxa"/>
            <w:tcBorders>
              <w:top w:val="single" w:sz="4" w:space="0" w:color="auto"/>
              <w:left w:val="nil"/>
              <w:bottom w:val="single" w:sz="4" w:space="0" w:color="auto"/>
              <w:right w:val="single" w:sz="4" w:space="0" w:color="auto"/>
            </w:tcBorders>
            <w:vAlign w:val="bottom"/>
          </w:tcPr>
          <w:p w14:paraId="7F003A12" w14:textId="2E8E9590" w:rsidR="005620F5" w:rsidRDefault="005620F5" w:rsidP="005620F5">
            <w:pPr>
              <w:spacing w:after="0" w:line="240" w:lineRule="auto"/>
              <w:jc w:val="center"/>
              <w:rPr>
                <w:rFonts w:ascii="Calibri" w:hAnsi="Calibri" w:cs="Calibri"/>
                <w:color w:val="000000"/>
                <w:sz w:val="20"/>
              </w:rPr>
            </w:pPr>
            <w:r>
              <w:rPr>
                <w:rFonts w:ascii="Calibri" w:hAnsi="Calibri" w:cs="Calibri"/>
                <w:color w:val="000000"/>
              </w:rPr>
              <w:t>4,669</w:t>
            </w:r>
          </w:p>
        </w:tc>
        <w:tc>
          <w:tcPr>
            <w:tcW w:w="960" w:type="dxa"/>
            <w:tcBorders>
              <w:top w:val="single" w:sz="4" w:space="0" w:color="auto"/>
              <w:left w:val="single" w:sz="4" w:space="0" w:color="auto"/>
              <w:bottom w:val="single" w:sz="4" w:space="0" w:color="auto"/>
              <w:right w:val="single" w:sz="4" w:space="0" w:color="auto"/>
            </w:tcBorders>
            <w:noWrap/>
            <w:vAlign w:val="center"/>
          </w:tcPr>
          <w:p w14:paraId="22D2AC95" w14:textId="3734C898"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4%</w:t>
            </w:r>
          </w:p>
        </w:tc>
        <w:tc>
          <w:tcPr>
            <w:tcW w:w="893" w:type="dxa"/>
            <w:tcBorders>
              <w:top w:val="nil"/>
              <w:left w:val="nil"/>
              <w:bottom w:val="single" w:sz="4" w:space="0" w:color="auto"/>
              <w:right w:val="single" w:sz="4" w:space="0" w:color="auto"/>
            </w:tcBorders>
            <w:vAlign w:val="center"/>
          </w:tcPr>
          <w:p w14:paraId="07338FF9" w14:textId="77777777"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1%</w:t>
            </w:r>
          </w:p>
        </w:tc>
      </w:tr>
      <w:tr w:rsidR="005620F5" w14:paraId="54F5BF10" w14:textId="77777777" w:rsidTr="00540D9C">
        <w:trPr>
          <w:trHeight w:val="300"/>
          <w:jc w:val="center"/>
        </w:trPr>
        <w:tc>
          <w:tcPr>
            <w:tcW w:w="1329" w:type="dxa"/>
            <w:tcBorders>
              <w:top w:val="nil"/>
              <w:left w:val="single" w:sz="4" w:space="0" w:color="auto"/>
              <w:bottom w:val="single" w:sz="4" w:space="0" w:color="auto"/>
              <w:right w:val="single" w:sz="4" w:space="0" w:color="auto"/>
            </w:tcBorders>
            <w:noWrap/>
            <w:vAlign w:val="center"/>
          </w:tcPr>
          <w:p w14:paraId="50779088" w14:textId="77777777" w:rsidR="005620F5" w:rsidRDefault="005620F5" w:rsidP="005620F5">
            <w:pPr>
              <w:spacing w:after="0" w:line="240" w:lineRule="auto"/>
              <w:rPr>
                <w:rFonts w:ascii="Calibri" w:eastAsia="Times New Roman" w:hAnsi="Calibri" w:cs="Calibri"/>
                <w:bCs/>
                <w:color w:val="000000"/>
                <w:sz w:val="20"/>
                <w:lang w:eastAsia="en-IN"/>
              </w:rPr>
            </w:pPr>
            <w:r>
              <w:rPr>
                <w:rFonts w:ascii="Calibri" w:hAnsi="Calibri" w:cs="Calibri"/>
                <w:bCs/>
                <w:color w:val="000000"/>
                <w:sz w:val="20"/>
              </w:rPr>
              <w:t>Chennai</w:t>
            </w:r>
          </w:p>
        </w:tc>
        <w:tc>
          <w:tcPr>
            <w:tcW w:w="960" w:type="dxa"/>
            <w:tcBorders>
              <w:top w:val="single" w:sz="4" w:space="0" w:color="auto"/>
              <w:left w:val="nil"/>
              <w:bottom w:val="single" w:sz="4" w:space="0" w:color="auto"/>
              <w:right w:val="single" w:sz="4" w:space="0" w:color="auto"/>
            </w:tcBorders>
            <w:vAlign w:val="bottom"/>
          </w:tcPr>
          <w:p w14:paraId="692C42AB" w14:textId="2E783593" w:rsidR="005620F5" w:rsidRDefault="005620F5" w:rsidP="005620F5">
            <w:pPr>
              <w:spacing w:after="0" w:line="240" w:lineRule="auto"/>
              <w:jc w:val="center"/>
              <w:rPr>
                <w:rFonts w:ascii="Calibri" w:hAnsi="Calibri" w:cs="Calibri"/>
                <w:color w:val="000000"/>
                <w:sz w:val="20"/>
              </w:rPr>
            </w:pPr>
            <w:r>
              <w:rPr>
                <w:rFonts w:ascii="Calibri" w:hAnsi="Calibri" w:cs="Calibri"/>
                <w:color w:val="000000"/>
              </w:rPr>
              <w:t>4,429</w:t>
            </w:r>
          </w:p>
        </w:tc>
        <w:tc>
          <w:tcPr>
            <w:tcW w:w="960" w:type="dxa"/>
            <w:tcBorders>
              <w:top w:val="single" w:sz="4" w:space="0" w:color="auto"/>
              <w:left w:val="single" w:sz="4" w:space="0" w:color="auto"/>
              <w:bottom w:val="single" w:sz="4" w:space="0" w:color="auto"/>
              <w:right w:val="single" w:sz="4" w:space="0" w:color="auto"/>
            </w:tcBorders>
            <w:noWrap/>
            <w:vAlign w:val="center"/>
          </w:tcPr>
          <w:p w14:paraId="15F09716" w14:textId="46C0AFFC"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3%</w:t>
            </w:r>
          </w:p>
        </w:tc>
        <w:tc>
          <w:tcPr>
            <w:tcW w:w="893" w:type="dxa"/>
            <w:tcBorders>
              <w:top w:val="nil"/>
              <w:left w:val="nil"/>
              <w:bottom w:val="single" w:sz="4" w:space="0" w:color="auto"/>
              <w:right w:val="single" w:sz="4" w:space="0" w:color="auto"/>
            </w:tcBorders>
            <w:vAlign w:val="center"/>
          </w:tcPr>
          <w:p w14:paraId="49E0ED20" w14:textId="77777777" w:rsidR="005620F5" w:rsidRDefault="005620F5" w:rsidP="005620F5">
            <w:pPr>
              <w:spacing w:after="0" w:line="240" w:lineRule="auto"/>
              <w:jc w:val="center"/>
              <w:rPr>
                <w:rFonts w:ascii="Calibri" w:eastAsia="Times New Roman" w:hAnsi="Calibri" w:cs="Calibri"/>
                <w:color w:val="000000"/>
                <w:sz w:val="20"/>
                <w:lang w:eastAsia="en-IN"/>
              </w:rPr>
            </w:pPr>
            <w:r>
              <w:rPr>
                <w:rFonts w:ascii="Calibri" w:hAnsi="Calibri" w:cs="Calibri"/>
                <w:color w:val="000000"/>
                <w:sz w:val="20"/>
              </w:rPr>
              <w:t>2%</w:t>
            </w:r>
          </w:p>
        </w:tc>
      </w:tr>
    </w:tbl>
    <w:p w14:paraId="72AFABDD" w14:textId="4021AB50" w:rsidR="009701AB" w:rsidRDefault="002906FF" w:rsidP="00746A76">
      <w:pPr>
        <w:spacing w:line="360" w:lineRule="auto"/>
        <w:ind w:left="2160" w:firstLine="250"/>
        <w:rPr>
          <w:sz w:val="16"/>
          <w:lang w:val="en-US"/>
        </w:rPr>
      </w:pPr>
      <w:r>
        <w:rPr>
          <w:sz w:val="16"/>
        </w:rPr>
        <w:t xml:space="preserve">Source: Knight Frank </w:t>
      </w:r>
      <w:r w:rsidR="00746A76">
        <w:rPr>
          <w:sz w:val="16"/>
        </w:rPr>
        <w:t>India</w:t>
      </w:r>
    </w:p>
    <w:p w14:paraId="5861426E" w14:textId="77777777" w:rsidR="009701AB" w:rsidRDefault="009701AB">
      <w:pPr>
        <w:jc w:val="both"/>
      </w:pPr>
    </w:p>
    <w:p w14:paraId="547609D6" w14:textId="77777777" w:rsidR="00F858F5" w:rsidRDefault="00F858F5" w:rsidP="00F858F5">
      <w:pPr>
        <w:spacing w:line="240" w:lineRule="auto"/>
        <w:jc w:val="center"/>
        <w:rPr>
          <w:rFonts w:eastAsia="Calibri" w:cstheme="minorHAnsi"/>
          <w:b/>
          <w:sz w:val="24"/>
        </w:rPr>
      </w:pPr>
      <w:r>
        <w:rPr>
          <w:rFonts w:eastAsia="Calibri" w:cstheme="minorHAnsi"/>
          <w:b/>
          <w:sz w:val="24"/>
        </w:rPr>
        <w:t>~ End ~</w:t>
      </w:r>
    </w:p>
    <w:p w14:paraId="4F644676" w14:textId="77777777" w:rsidR="00F858F5" w:rsidRDefault="00F858F5" w:rsidP="00F858F5">
      <w:pPr>
        <w:autoSpaceDE w:val="0"/>
        <w:autoSpaceDN w:val="0"/>
        <w:adjustRightInd w:val="0"/>
        <w:spacing w:after="0" w:line="20" w:lineRule="atLeast"/>
        <w:jc w:val="both"/>
        <w:rPr>
          <w:rFonts w:ascii="Calibri" w:eastAsia="PMingLiU" w:hAnsi="Calibri" w:cs="Calibri"/>
          <w:b/>
          <w:sz w:val="18"/>
          <w:szCs w:val="18"/>
          <w:lang w:eastAsia="en-IN"/>
        </w:rPr>
      </w:pPr>
    </w:p>
    <w:p w14:paraId="54EFF009" w14:textId="77777777" w:rsidR="00F858F5" w:rsidRDefault="00F858F5" w:rsidP="00F858F5">
      <w:pPr>
        <w:autoSpaceDE w:val="0"/>
        <w:autoSpaceDN w:val="0"/>
        <w:adjustRightInd w:val="0"/>
        <w:spacing w:after="0" w:line="20" w:lineRule="atLeast"/>
        <w:jc w:val="both"/>
        <w:rPr>
          <w:rFonts w:ascii="Calibri" w:eastAsia="PMingLiU" w:hAnsi="Calibri" w:cs="Calibri"/>
          <w:b/>
          <w:sz w:val="18"/>
          <w:szCs w:val="18"/>
          <w:lang w:eastAsia="en-IN"/>
        </w:rPr>
      </w:pPr>
    </w:p>
    <w:p w14:paraId="13D87AF0" w14:textId="77777777" w:rsidR="00F858F5" w:rsidRDefault="00F858F5" w:rsidP="00F858F5">
      <w:pPr>
        <w:autoSpaceDE w:val="0"/>
        <w:autoSpaceDN w:val="0"/>
        <w:adjustRightInd w:val="0"/>
        <w:spacing w:after="0" w:line="20" w:lineRule="atLeast"/>
        <w:jc w:val="both"/>
        <w:rPr>
          <w:rFonts w:ascii="Calibri" w:eastAsia="PMingLiU" w:hAnsi="Calibri" w:cs="Calibri"/>
          <w:b/>
          <w:sz w:val="18"/>
          <w:szCs w:val="18"/>
          <w:lang w:eastAsia="en-IN"/>
        </w:rPr>
      </w:pPr>
      <w:r>
        <w:rPr>
          <w:rFonts w:ascii="Calibri" w:eastAsia="PMingLiU" w:hAnsi="Calibri" w:cs="Calibri"/>
          <w:b/>
          <w:sz w:val="18"/>
          <w:szCs w:val="18"/>
          <w:lang w:eastAsia="en-IN"/>
        </w:rPr>
        <w:t>About Knight Frank</w:t>
      </w:r>
    </w:p>
    <w:p w14:paraId="72F111B7" w14:textId="77777777" w:rsidR="00F858F5" w:rsidRDefault="00F858F5" w:rsidP="00F858F5">
      <w:pPr>
        <w:autoSpaceDE w:val="0"/>
        <w:autoSpaceDN w:val="0"/>
        <w:adjustRightInd w:val="0"/>
        <w:spacing w:after="0" w:line="20" w:lineRule="atLeast"/>
        <w:jc w:val="both"/>
        <w:rPr>
          <w:rFonts w:ascii="Calibri" w:eastAsia="PMingLiU" w:hAnsi="Calibri" w:cs="Calibri"/>
          <w:bCs/>
          <w:sz w:val="18"/>
          <w:szCs w:val="18"/>
          <w:lang w:val="en-US" w:eastAsia="en-IN"/>
        </w:rPr>
      </w:pPr>
      <w:r>
        <w:rPr>
          <w:rFonts w:ascii="Calibri" w:eastAsia="PMingLiU" w:hAnsi="Calibri" w:cs="Calibri"/>
          <w:bCs/>
          <w:sz w:val="18"/>
          <w:szCs w:val="18"/>
          <w:lang w:eastAsia="en-IN"/>
        </w:rPr>
        <w:t xml:space="preserve">Knight Frank LLP is a leading independent, global property consultancy. Headquartered in London, Knight Frank has more than 20,000 people operating from over 487 offices across 53 markets. The Group advises clients ranging from individual owners and buyers to major developers, investors, and corporate tenants. For further information about the Company, please visit </w:t>
      </w:r>
      <w:hyperlink r:id="rId11" w:history="1">
        <w:r>
          <w:rPr>
            <w:rFonts w:ascii="Calibri" w:eastAsia="PMingLiU" w:hAnsi="Calibri" w:cs="Calibri"/>
            <w:bCs/>
            <w:color w:val="0000FF"/>
            <w:sz w:val="18"/>
            <w:szCs w:val="18"/>
            <w:u w:val="single"/>
            <w:lang w:eastAsia="en-IN"/>
          </w:rPr>
          <w:t>www.knightfrank.com.</w:t>
        </w:r>
      </w:hyperlink>
      <w:r>
        <w:rPr>
          <w:rFonts w:ascii="Calibri" w:eastAsia="PMingLiU" w:hAnsi="Calibri" w:cs="Calibri"/>
          <w:bCs/>
          <w:sz w:val="18"/>
          <w:szCs w:val="18"/>
          <w:lang w:val="en-US" w:eastAsia="en-IN"/>
        </w:rPr>
        <w:t xml:space="preserve"> </w:t>
      </w:r>
    </w:p>
    <w:p w14:paraId="25419317" w14:textId="77777777" w:rsidR="00F858F5" w:rsidRDefault="00F858F5" w:rsidP="00F858F5">
      <w:pPr>
        <w:autoSpaceDE w:val="0"/>
        <w:autoSpaceDN w:val="0"/>
        <w:adjustRightInd w:val="0"/>
        <w:spacing w:after="0" w:line="20" w:lineRule="atLeast"/>
        <w:jc w:val="both"/>
        <w:rPr>
          <w:rFonts w:ascii="Calibri" w:eastAsia="PMingLiU" w:hAnsi="Calibri" w:cs="Calibri"/>
          <w:bCs/>
          <w:sz w:val="18"/>
          <w:szCs w:val="18"/>
          <w:lang w:val="en-US" w:eastAsia="en-IN"/>
        </w:rPr>
      </w:pPr>
    </w:p>
    <w:p w14:paraId="5FB4ABB3" w14:textId="77777777" w:rsidR="00F858F5" w:rsidRDefault="00F858F5" w:rsidP="00F858F5">
      <w:pPr>
        <w:autoSpaceDE w:val="0"/>
        <w:autoSpaceDN w:val="0"/>
        <w:adjustRightInd w:val="0"/>
        <w:spacing w:after="0" w:line="20" w:lineRule="atLeast"/>
        <w:jc w:val="both"/>
        <w:rPr>
          <w:rFonts w:ascii="Calibri" w:eastAsia="Calibri" w:hAnsi="Calibri" w:cs="Arial"/>
          <w:b/>
          <w:color w:val="0000FF"/>
          <w:u w:val="single"/>
        </w:rPr>
      </w:pPr>
      <w:r>
        <w:rPr>
          <w:rFonts w:ascii="Calibri" w:eastAsia="PMingLiU" w:hAnsi="Calibri" w:cs="Calibri"/>
          <w:bCs/>
          <w:sz w:val="18"/>
          <w:szCs w:val="18"/>
          <w:lang w:eastAsia="en-IN"/>
        </w:rPr>
        <w:t>Knight Frank India is headquartered in Mumbai and has more than 1,500 experts across Bangalore, Delhi, Pune, Hyderabad, Chennai, Kolkata, and Ahmedabad. Backed by strong research and analytics, our experts offer a comprehensive range of real estate services across advisory, valuation and consulting, transactions (residential, commercial, retail, hospitality, land &amp; capital), facilities management, and project management. For more information, visit</w:t>
      </w:r>
      <w:r>
        <w:rPr>
          <w:rFonts w:ascii="Calibri" w:eastAsia="PMingLiU" w:hAnsi="Calibri" w:cs="Calibri"/>
          <w:b/>
          <w:sz w:val="18"/>
          <w:szCs w:val="18"/>
          <w:lang w:eastAsia="en-IN"/>
        </w:rPr>
        <w:t xml:space="preserve"> </w:t>
      </w:r>
      <w:hyperlink r:id="rId12" w:history="1">
        <w:r>
          <w:rPr>
            <w:rFonts w:ascii="Calibri" w:eastAsia="PMingLiU" w:hAnsi="Calibri" w:cs="Calibri"/>
            <w:b/>
            <w:color w:val="0000FF"/>
            <w:sz w:val="18"/>
            <w:szCs w:val="18"/>
            <w:u w:val="single"/>
            <w:lang w:eastAsia="en-IN"/>
          </w:rPr>
          <w:t>www.knightfrank.co.in</w:t>
        </w:r>
      </w:hyperlink>
    </w:p>
    <w:p w14:paraId="312BE3C5" w14:textId="77777777" w:rsidR="00F858F5" w:rsidRDefault="00F858F5" w:rsidP="00F858F5">
      <w:pPr>
        <w:autoSpaceDE w:val="0"/>
        <w:autoSpaceDN w:val="0"/>
        <w:adjustRightInd w:val="0"/>
        <w:spacing w:after="0" w:line="20" w:lineRule="atLeast"/>
        <w:jc w:val="both"/>
        <w:rPr>
          <w:rFonts w:ascii="Calibri" w:eastAsia="PMingLiU" w:hAnsi="Calibri" w:cs="Arial"/>
          <w:b/>
          <w:color w:val="0000FF"/>
          <w:sz w:val="18"/>
          <w:szCs w:val="18"/>
          <w:u w:val="single"/>
          <w:lang w:eastAsia="en-IN"/>
        </w:rPr>
      </w:pPr>
    </w:p>
    <w:p w14:paraId="7BCDCC10" w14:textId="77777777" w:rsidR="00F858F5" w:rsidRDefault="00F858F5" w:rsidP="00F858F5">
      <w:pPr>
        <w:autoSpaceDE w:val="0"/>
        <w:autoSpaceDN w:val="0"/>
        <w:adjustRightInd w:val="0"/>
        <w:spacing w:after="0" w:line="20" w:lineRule="atLeast"/>
        <w:jc w:val="both"/>
        <w:rPr>
          <w:rFonts w:ascii="Calibri" w:eastAsia="Calibri" w:hAnsi="Calibri" w:cs="Arial Unicode MS"/>
          <w:bCs/>
          <w:sz w:val="16"/>
          <w:szCs w:val="16"/>
          <w:lang w:bidi="hi-IN"/>
        </w:rPr>
      </w:pPr>
      <w:r>
        <w:rPr>
          <w:rFonts w:ascii="Calibri" w:eastAsia="PMingLiU" w:hAnsi="Calibri" w:cs="Calibri"/>
          <w:b/>
          <w:sz w:val="16"/>
          <w:szCs w:val="16"/>
          <w:lang w:eastAsia="en-IN"/>
        </w:rPr>
        <w:t>For further information, please contact</w:t>
      </w:r>
      <w:r>
        <w:rPr>
          <w:rFonts w:ascii="Calibri" w:eastAsia="PMingLiU" w:hAnsi="Calibri" w:cs="Arial Unicode MS" w:hint="eastAsia"/>
          <w:b/>
          <w:bCs/>
          <w:sz w:val="16"/>
          <w:szCs w:val="16"/>
          <w:cs/>
          <w:lang w:eastAsia="en-IN" w:bidi="hi-IN"/>
        </w:rPr>
        <w:t>:</w:t>
      </w:r>
    </w:p>
    <w:tbl>
      <w:tblPr>
        <w:tblStyle w:val="TableGrid2"/>
        <w:tblW w:w="9782" w:type="dxa"/>
        <w:tblInd w:w="-289" w:type="dxa"/>
        <w:tblLook w:val="04A0" w:firstRow="1" w:lastRow="0" w:firstColumn="1" w:lastColumn="0" w:noHBand="0" w:noVBand="1"/>
      </w:tblPr>
      <w:tblGrid>
        <w:gridCol w:w="3403"/>
        <w:gridCol w:w="3290"/>
        <w:gridCol w:w="3089"/>
      </w:tblGrid>
      <w:tr w:rsidR="00F858F5" w14:paraId="6736AC5F" w14:textId="77777777" w:rsidTr="00B837E1">
        <w:tc>
          <w:tcPr>
            <w:tcW w:w="3403" w:type="dxa"/>
            <w:tcBorders>
              <w:top w:val="single" w:sz="4" w:space="0" w:color="auto"/>
              <w:left w:val="single" w:sz="4" w:space="0" w:color="auto"/>
              <w:bottom w:val="single" w:sz="4" w:space="0" w:color="auto"/>
              <w:right w:val="single" w:sz="4" w:space="0" w:color="auto"/>
            </w:tcBorders>
          </w:tcPr>
          <w:p w14:paraId="211A774D" w14:textId="77777777" w:rsidR="00F858F5" w:rsidRDefault="00F858F5" w:rsidP="00B837E1">
            <w:pPr>
              <w:autoSpaceDE w:val="0"/>
              <w:autoSpaceDN w:val="0"/>
              <w:spacing w:after="0" w:line="20" w:lineRule="atLeast"/>
              <w:jc w:val="both"/>
              <w:rPr>
                <w:rFonts w:ascii="Calibri" w:eastAsia="Segoe UI" w:hAnsi="Calibri" w:cs="Calibri"/>
                <w:b/>
                <w:sz w:val="16"/>
                <w:szCs w:val="16"/>
                <w:cs/>
                <w:lang w:eastAsia="en-IN"/>
              </w:rPr>
            </w:pPr>
            <w:r>
              <w:rPr>
                <w:rFonts w:ascii="Calibri" w:eastAsia="Segoe UI" w:hAnsi="Calibri" w:cs="Calibri"/>
                <w:b/>
                <w:sz w:val="16"/>
                <w:szCs w:val="16"/>
                <w:lang w:eastAsia="en-IN"/>
              </w:rPr>
              <w:t xml:space="preserve">Piyali Dasgupta </w:t>
            </w:r>
            <w:r>
              <w:rPr>
                <w:rFonts w:ascii="Calibri" w:eastAsia="Segoe UI" w:hAnsi="Calibri" w:cs="Mangal" w:hint="cs"/>
                <w:b/>
                <w:bCs/>
                <w:sz w:val="16"/>
                <w:szCs w:val="16"/>
                <w:cs/>
                <w:lang w:eastAsia="en-IN" w:bidi="hi-IN"/>
              </w:rPr>
              <w:t>(</w:t>
            </w:r>
            <w:r>
              <w:rPr>
                <w:rFonts w:ascii="Calibri" w:eastAsia="Segoe UI" w:hAnsi="Calibri" w:cs="Calibri"/>
                <w:b/>
                <w:sz w:val="16"/>
                <w:szCs w:val="16"/>
                <w:lang w:eastAsia="en-IN"/>
              </w:rPr>
              <w:t>Knight Frank India</w:t>
            </w:r>
            <w:r>
              <w:rPr>
                <w:rFonts w:ascii="Calibri" w:eastAsia="Segoe UI" w:hAnsi="Calibri" w:cs="Mangal" w:hint="cs"/>
                <w:b/>
                <w:bCs/>
                <w:sz w:val="16"/>
                <w:szCs w:val="16"/>
                <w:cs/>
                <w:lang w:eastAsia="en-IN" w:bidi="hi-IN"/>
              </w:rPr>
              <w:t>)</w:t>
            </w:r>
          </w:p>
          <w:p w14:paraId="0F5F979F" w14:textId="77777777" w:rsidR="00F858F5" w:rsidRDefault="00F858F5" w:rsidP="00B837E1">
            <w:pPr>
              <w:autoSpaceDE w:val="0"/>
              <w:autoSpaceDN w:val="0"/>
              <w:spacing w:after="0" w:line="20" w:lineRule="atLeast"/>
              <w:jc w:val="both"/>
              <w:rPr>
                <w:rFonts w:ascii="Calibri" w:eastAsia="Segoe UI" w:hAnsi="Calibri" w:cs="Calibri"/>
                <w:sz w:val="16"/>
                <w:szCs w:val="16"/>
                <w:lang w:eastAsia="en-IN"/>
              </w:rPr>
            </w:pPr>
            <w:r>
              <w:rPr>
                <w:rFonts w:ascii="Calibri" w:eastAsia="Segoe UI" w:hAnsi="Calibri" w:cs="Mangal" w:hint="cs"/>
                <w:sz w:val="16"/>
                <w:szCs w:val="16"/>
                <w:cs/>
                <w:lang w:eastAsia="en-IN" w:bidi="hi-IN"/>
              </w:rPr>
              <w:t>+</w:t>
            </w:r>
            <w:r>
              <w:rPr>
                <w:rFonts w:ascii="Calibri" w:eastAsia="Segoe UI" w:hAnsi="Calibri" w:cs="Calibri"/>
                <w:sz w:val="16"/>
                <w:szCs w:val="16"/>
                <w:lang w:eastAsia="en-IN"/>
              </w:rPr>
              <w:t xml:space="preserve">91 9833571204 </w:t>
            </w:r>
          </w:p>
          <w:p w14:paraId="61486FA6" w14:textId="77777777" w:rsidR="00F858F5" w:rsidRDefault="00000000" w:rsidP="00B837E1">
            <w:pPr>
              <w:autoSpaceDE w:val="0"/>
              <w:autoSpaceDN w:val="0"/>
              <w:spacing w:after="0" w:line="20" w:lineRule="atLeast"/>
              <w:jc w:val="both"/>
              <w:rPr>
                <w:rFonts w:ascii="Calibri" w:eastAsia="Segoe UI" w:hAnsi="Calibri" w:cs="Calibri"/>
                <w:sz w:val="16"/>
                <w:szCs w:val="16"/>
                <w:lang w:eastAsia="en-IN"/>
              </w:rPr>
            </w:pPr>
            <w:hyperlink r:id="rId13" w:history="1">
              <w:r w:rsidR="00F858F5">
                <w:rPr>
                  <w:rFonts w:ascii="Arial" w:eastAsia="Segoe UI" w:hAnsi="Arial" w:cs="Calibri"/>
                  <w:color w:val="0000FF"/>
                  <w:sz w:val="16"/>
                  <w:szCs w:val="16"/>
                  <w:u w:val="single"/>
                  <w:lang w:eastAsia="en-IN"/>
                </w:rPr>
                <w:t>piyali</w:t>
              </w:r>
              <w:r w:rsidR="00F858F5">
                <w:rPr>
                  <w:rFonts w:ascii="Arial" w:eastAsia="Segoe UI" w:hAnsi="Arial" w:cs="Mangal" w:hint="cs"/>
                  <w:color w:val="0000FF"/>
                  <w:sz w:val="16"/>
                  <w:szCs w:val="16"/>
                  <w:u w:val="single"/>
                  <w:cs/>
                  <w:lang w:eastAsia="en-IN" w:bidi="hi-IN"/>
                </w:rPr>
                <w:t>.</w:t>
              </w:r>
              <w:r w:rsidR="00F858F5">
                <w:rPr>
                  <w:rFonts w:ascii="Arial" w:eastAsia="Segoe UI" w:hAnsi="Arial" w:cs="Calibri"/>
                  <w:color w:val="0000FF"/>
                  <w:sz w:val="16"/>
                  <w:szCs w:val="16"/>
                  <w:u w:val="single"/>
                  <w:lang w:eastAsia="en-IN"/>
                </w:rPr>
                <w:t>dasgupta@in</w:t>
              </w:r>
              <w:r w:rsidR="00F858F5">
                <w:rPr>
                  <w:rFonts w:ascii="Arial" w:eastAsia="Segoe UI" w:hAnsi="Arial" w:cs="Mangal" w:hint="cs"/>
                  <w:color w:val="0000FF"/>
                  <w:sz w:val="16"/>
                  <w:szCs w:val="16"/>
                  <w:u w:val="single"/>
                  <w:cs/>
                  <w:lang w:eastAsia="en-IN" w:bidi="hi-IN"/>
                </w:rPr>
                <w:t>.</w:t>
              </w:r>
              <w:r w:rsidR="00F858F5">
                <w:rPr>
                  <w:rFonts w:ascii="Arial" w:eastAsia="Segoe UI" w:hAnsi="Arial" w:cs="Calibri"/>
                  <w:color w:val="0000FF"/>
                  <w:sz w:val="16"/>
                  <w:szCs w:val="16"/>
                  <w:u w:val="single"/>
                  <w:lang w:eastAsia="en-IN"/>
                </w:rPr>
                <w:t>knightfrank</w:t>
              </w:r>
              <w:r w:rsidR="00F858F5">
                <w:rPr>
                  <w:rFonts w:ascii="Arial" w:eastAsia="Segoe UI" w:hAnsi="Arial" w:cs="Mangal" w:hint="cs"/>
                  <w:color w:val="0000FF"/>
                  <w:sz w:val="16"/>
                  <w:szCs w:val="16"/>
                  <w:u w:val="single"/>
                  <w:cs/>
                  <w:lang w:eastAsia="en-IN" w:bidi="hi-IN"/>
                </w:rPr>
                <w:t>.</w:t>
              </w:r>
              <w:r w:rsidR="00F858F5">
                <w:rPr>
                  <w:rFonts w:ascii="Arial" w:eastAsia="Segoe UI" w:hAnsi="Arial" w:cs="Calibri"/>
                  <w:color w:val="0000FF"/>
                  <w:sz w:val="16"/>
                  <w:szCs w:val="16"/>
                  <w:u w:val="single"/>
                  <w:lang w:eastAsia="en-IN"/>
                </w:rPr>
                <w:t>com</w:t>
              </w:r>
            </w:hyperlink>
          </w:p>
        </w:tc>
        <w:tc>
          <w:tcPr>
            <w:tcW w:w="3290" w:type="dxa"/>
            <w:tcBorders>
              <w:top w:val="single" w:sz="4" w:space="0" w:color="auto"/>
              <w:left w:val="single" w:sz="4" w:space="0" w:color="auto"/>
              <w:bottom w:val="single" w:sz="4" w:space="0" w:color="auto"/>
              <w:right w:val="single" w:sz="4" w:space="0" w:color="auto"/>
            </w:tcBorders>
          </w:tcPr>
          <w:p w14:paraId="32F018AF" w14:textId="77777777" w:rsidR="00F858F5" w:rsidRDefault="00F858F5" w:rsidP="00B837E1">
            <w:pPr>
              <w:autoSpaceDE w:val="0"/>
              <w:autoSpaceDN w:val="0"/>
              <w:spacing w:after="0" w:line="20" w:lineRule="atLeast"/>
              <w:jc w:val="both"/>
              <w:rPr>
                <w:rFonts w:ascii="Calibri" w:eastAsia="Segoe UI" w:hAnsi="Calibri" w:cs="Calibri"/>
                <w:b/>
                <w:sz w:val="16"/>
                <w:szCs w:val="16"/>
                <w:lang w:eastAsia="en-IN"/>
              </w:rPr>
            </w:pPr>
            <w:r>
              <w:rPr>
                <w:rFonts w:ascii="Calibri" w:eastAsia="Segoe UI" w:hAnsi="Calibri" w:cs="Calibri"/>
                <w:b/>
                <w:sz w:val="16"/>
                <w:szCs w:val="16"/>
                <w:lang w:eastAsia="en-IN"/>
              </w:rPr>
              <w:t xml:space="preserve">Tania Banerjee </w:t>
            </w:r>
            <w:r>
              <w:rPr>
                <w:rFonts w:ascii="Calibri" w:eastAsia="Segoe UI" w:hAnsi="Calibri" w:cs="Mangal" w:hint="cs"/>
                <w:b/>
                <w:bCs/>
                <w:sz w:val="16"/>
                <w:szCs w:val="16"/>
                <w:cs/>
                <w:lang w:eastAsia="en-IN" w:bidi="hi-IN"/>
              </w:rPr>
              <w:t>(</w:t>
            </w:r>
            <w:r>
              <w:rPr>
                <w:rFonts w:ascii="Calibri" w:eastAsia="Segoe UI" w:hAnsi="Calibri" w:cs="Calibri"/>
                <w:b/>
                <w:sz w:val="16"/>
                <w:szCs w:val="16"/>
                <w:lang w:eastAsia="en-IN"/>
              </w:rPr>
              <w:t>Knight Frank India</w:t>
            </w:r>
            <w:r>
              <w:rPr>
                <w:rFonts w:ascii="Calibri" w:eastAsia="Segoe UI" w:hAnsi="Calibri" w:cs="Mangal" w:hint="cs"/>
                <w:b/>
                <w:bCs/>
                <w:sz w:val="16"/>
                <w:szCs w:val="16"/>
                <w:cs/>
                <w:lang w:eastAsia="en-IN" w:bidi="hi-IN"/>
              </w:rPr>
              <w:t>)</w:t>
            </w:r>
          </w:p>
          <w:p w14:paraId="3FEFC233" w14:textId="77777777" w:rsidR="00F858F5" w:rsidRDefault="00F858F5" w:rsidP="00B837E1">
            <w:pPr>
              <w:autoSpaceDE w:val="0"/>
              <w:autoSpaceDN w:val="0"/>
              <w:spacing w:after="0" w:line="20" w:lineRule="atLeast"/>
              <w:jc w:val="both"/>
              <w:rPr>
                <w:rFonts w:ascii="Calibri" w:eastAsia="Segoe UI" w:hAnsi="Calibri" w:cs="Calibri"/>
                <w:sz w:val="16"/>
                <w:szCs w:val="16"/>
                <w:lang w:eastAsia="en-IN"/>
              </w:rPr>
            </w:pPr>
            <w:r>
              <w:rPr>
                <w:rFonts w:ascii="Calibri" w:eastAsia="Segoe UI" w:hAnsi="Calibri" w:cs="Mangal" w:hint="cs"/>
                <w:sz w:val="16"/>
                <w:szCs w:val="16"/>
                <w:cs/>
                <w:lang w:eastAsia="en-IN" w:bidi="hi-IN"/>
              </w:rPr>
              <w:t>+</w:t>
            </w:r>
            <w:r>
              <w:rPr>
                <w:rFonts w:ascii="Calibri" w:eastAsia="Segoe UI" w:hAnsi="Calibri" w:cs="Calibri"/>
                <w:sz w:val="16"/>
                <w:szCs w:val="16"/>
                <w:lang w:eastAsia="en-IN"/>
              </w:rPr>
              <w:t xml:space="preserve">91 9819004431 </w:t>
            </w:r>
          </w:p>
          <w:p w14:paraId="6BF9E316" w14:textId="77777777" w:rsidR="00F858F5" w:rsidRDefault="00000000" w:rsidP="00B837E1">
            <w:pPr>
              <w:autoSpaceDE w:val="0"/>
              <w:autoSpaceDN w:val="0"/>
              <w:spacing w:after="0" w:line="20" w:lineRule="atLeast"/>
              <w:jc w:val="both"/>
              <w:rPr>
                <w:rFonts w:ascii="Calibri" w:eastAsia="Segoe UI" w:hAnsi="Calibri" w:cs="Calibri"/>
                <w:sz w:val="16"/>
                <w:szCs w:val="16"/>
                <w:lang w:eastAsia="en-IN"/>
              </w:rPr>
            </w:pPr>
            <w:hyperlink r:id="rId14" w:history="1">
              <w:r w:rsidR="00F858F5">
                <w:rPr>
                  <w:rFonts w:ascii="Arial" w:eastAsia="Segoe UI" w:hAnsi="Arial" w:cs="Calibri"/>
                  <w:color w:val="0000FF"/>
                  <w:sz w:val="16"/>
                  <w:szCs w:val="16"/>
                  <w:u w:val="single"/>
                  <w:lang w:eastAsia="en-IN"/>
                </w:rPr>
                <w:t>tania.banerjee@in</w:t>
              </w:r>
              <w:r w:rsidR="00F858F5">
                <w:rPr>
                  <w:rFonts w:ascii="Arial" w:eastAsia="Segoe UI" w:hAnsi="Arial" w:cs="Mangal" w:hint="cs"/>
                  <w:color w:val="0000FF"/>
                  <w:sz w:val="16"/>
                  <w:szCs w:val="16"/>
                  <w:u w:val="single"/>
                  <w:cs/>
                  <w:lang w:eastAsia="en-IN" w:bidi="hi-IN"/>
                </w:rPr>
                <w:t>.</w:t>
              </w:r>
              <w:r w:rsidR="00F858F5">
                <w:rPr>
                  <w:rFonts w:ascii="Arial" w:eastAsia="Segoe UI" w:hAnsi="Arial" w:cs="Calibri"/>
                  <w:color w:val="0000FF"/>
                  <w:sz w:val="16"/>
                  <w:szCs w:val="16"/>
                  <w:u w:val="single"/>
                  <w:lang w:eastAsia="en-IN"/>
                </w:rPr>
                <w:t>knightfrank</w:t>
              </w:r>
              <w:r w:rsidR="00F858F5">
                <w:rPr>
                  <w:rFonts w:ascii="Arial" w:eastAsia="Segoe UI" w:hAnsi="Arial" w:cs="Mangal" w:hint="cs"/>
                  <w:color w:val="0000FF"/>
                  <w:sz w:val="16"/>
                  <w:szCs w:val="16"/>
                  <w:u w:val="single"/>
                  <w:cs/>
                  <w:lang w:eastAsia="en-IN" w:bidi="hi-IN"/>
                </w:rPr>
                <w:t>.</w:t>
              </w:r>
              <w:r w:rsidR="00F858F5">
                <w:rPr>
                  <w:rFonts w:ascii="Arial" w:eastAsia="Segoe UI" w:hAnsi="Arial" w:cs="Calibri"/>
                  <w:color w:val="0000FF"/>
                  <w:sz w:val="16"/>
                  <w:szCs w:val="16"/>
                  <w:u w:val="single"/>
                  <w:lang w:eastAsia="en-IN"/>
                </w:rPr>
                <w:t>com</w:t>
              </w:r>
            </w:hyperlink>
          </w:p>
        </w:tc>
        <w:tc>
          <w:tcPr>
            <w:tcW w:w="3089" w:type="dxa"/>
            <w:tcBorders>
              <w:top w:val="single" w:sz="4" w:space="0" w:color="auto"/>
              <w:left w:val="single" w:sz="4" w:space="0" w:color="auto"/>
              <w:bottom w:val="single" w:sz="4" w:space="0" w:color="auto"/>
              <w:right w:val="single" w:sz="4" w:space="0" w:color="auto"/>
            </w:tcBorders>
          </w:tcPr>
          <w:p w14:paraId="6C89A48C" w14:textId="77777777" w:rsidR="00F858F5" w:rsidRDefault="00F858F5" w:rsidP="00B837E1">
            <w:pPr>
              <w:autoSpaceDE w:val="0"/>
              <w:autoSpaceDN w:val="0"/>
              <w:spacing w:after="0" w:line="20" w:lineRule="atLeast"/>
              <w:jc w:val="both"/>
              <w:rPr>
                <w:rFonts w:ascii="Calibri" w:eastAsia="Calibri" w:hAnsi="Calibri" w:cs="Calibri"/>
                <w:b/>
                <w:sz w:val="16"/>
                <w:szCs w:val="16"/>
                <w:lang w:eastAsia="en-IN"/>
              </w:rPr>
            </w:pPr>
            <w:r>
              <w:rPr>
                <w:rFonts w:ascii="Calibri" w:eastAsia="Calibri" w:hAnsi="Calibri" w:cs="Calibri"/>
                <w:b/>
                <w:sz w:val="16"/>
                <w:szCs w:val="16"/>
                <w:lang w:eastAsia="en-IN"/>
              </w:rPr>
              <w:t>Mansoor</w:t>
            </w:r>
            <w:r>
              <w:rPr>
                <w:rFonts w:ascii="Calibri" w:eastAsia="Calibri" w:hAnsi="Calibri" w:cs="Mangal" w:hint="cs"/>
                <w:b/>
                <w:bCs/>
                <w:sz w:val="16"/>
                <w:szCs w:val="16"/>
                <w:cs/>
                <w:lang w:eastAsia="en-IN" w:bidi="hi-IN"/>
              </w:rPr>
              <w:t xml:space="preserve"> </w:t>
            </w:r>
            <w:r>
              <w:rPr>
                <w:rFonts w:ascii="Calibri" w:eastAsia="Calibri" w:hAnsi="Calibri" w:cs="Calibri" w:hint="cs"/>
                <w:b/>
                <w:bCs/>
                <w:sz w:val="16"/>
                <w:szCs w:val="16"/>
                <w:lang w:eastAsia="en-IN" w:bidi="hi-IN"/>
              </w:rPr>
              <w:t>Khan (</w:t>
            </w:r>
            <w:r>
              <w:rPr>
                <w:rFonts w:ascii="Calibri" w:eastAsia="Calibri" w:hAnsi="Calibri" w:cs="Calibri"/>
                <w:b/>
                <w:sz w:val="16"/>
                <w:szCs w:val="16"/>
                <w:lang w:eastAsia="en-IN"/>
              </w:rPr>
              <w:t>White Marque Solutions</w:t>
            </w:r>
            <w:r>
              <w:rPr>
                <w:rFonts w:ascii="Calibri" w:eastAsia="Calibri" w:hAnsi="Calibri" w:cs="Mangal" w:hint="cs"/>
                <w:b/>
                <w:bCs/>
                <w:sz w:val="16"/>
                <w:szCs w:val="16"/>
                <w:cs/>
                <w:lang w:eastAsia="en-IN" w:bidi="hi-IN"/>
              </w:rPr>
              <w:t>)</w:t>
            </w:r>
          </w:p>
          <w:p w14:paraId="777A7BE1" w14:textId="77777777" w:rsidR="00F858F5" w:rsidRDefault="00F858F5" w:rsidP="00B837E1">
            <w:pPr>
              <w:autoSpaceDE w:val="0"/>
              <w:autoSpaceDN w:val="0"/>
              <w:spacing w:after="0" w:line="20" w:lineRule="atLeast"/>
              <w:jc w:val="both"/>
              <w:rPr>
                <w:rFonts w:ascii="Calibri" w:eastAsia="Calibri" w:hAnsi="Calibri" w:cs="Calibri"/>
                <w:sz w:val="16"/>
                <w:szCs w:val="16"/>
                <w:lang w:eastAsia="en-IN"/>
              </w:rPr>
            </w:pPr>
            <w:r>
              <w:rPr>
                <w:rFonts w:ascii="Calibri" w:eastAsia="Calibri" w:hAnsi="Calibri" w:cs="Mangal" w:hint="cs"/>
                <w:sz w:val="16"/>
                <w:szCs w:val="16"/>
                <w:cs/>
                <w:lang w:eastAsia="en-IN" w:bidi="hi-IN"/>
              </w:rPr>
              <w:t>+</w:t>
            </w:r>
            <w:r>
              <w:rPr>
                <w:rFonts w:ascii="Calibri" w:eastAsia="Calibri" w:hAnsi="Calibri" w:cs="Calibri"/>
                <w:sz w:val="16"/>
                <w:szCs w:val="16"/>
                <w:lang w:eastAsia="en-IN"/>
              </w:rPr>
              <w:t>91 8108385015</w:t>
            </w:r>
          </w:p>
          <w:p w14:paraId="30EF4BAB" w14:textId="77777777" w:rsidR="00F858F5" w:rsidRDefault="00000000" w:rsidP="00B837E1">
            <w:pPr>
              <w:spacing w:after="0" w:line="20" w:lineRule="atLeast"/>
              <w:jc w:val="both"/>
              <w:rPr>
                <w:rFonts w:ascii="Calibri" w:eastAsia="Calibri" w:hAnsi="Calibri" w:cs="Calibri"/>
                <w:sz w:val="14"/>
                <w:szCs w:val="14"/>
                <w:lang w:val="en-US" w:eastAsia="en-IN"/>
              </w:rPr>
            </w:pPr>
            <w:hyperlink r:id="rId15" w:history="1">
              <w:r w:rsidR="00F858F5">
                <w:rPr>
                  <w:rFonts w:ascii="Arial" w:eastAsia="Calibri" w:hAnsi="Arial" w:cs="Calibri"/>
                  <w:color w:val="0000FF"/>
                  <w:sz w:val="14"/>
                  <w:szCs w:val="14"/>
                  <w:u w:val="single"/>
                  <w:lang w:eastAsia="en-IN"/>
                </w:rPr>
                <w:t>mansoor@whitemarquesolutions</w:t>
              </w:r>
              <w:r w:rsidR="00F858F5">
                <w:rPr>
                  <w:rFonts w:ascii="Arial" w:eastAsia="Calibri" w:hAnsi="Arial" w:cs="Mangal" w:hint="cs"/>
                  <w:color w:val="0000FF"/>
                  <w:sz w:val="14"/>
                  <w:szCs w:val="14"/>
                  <w:u w:val="single"/>
                  <w:cs/>
                  <w:lang w:eastAsia="en-IN" w:bidi="hi-IN"/>
                </w:rPr>
                <w:t>.</w:t>
              </w:r>
              <w:r w:rsidR="00F858F5">
                <w:rPr>
                  <w:rFonts w:ascii="Arial" w:eastAsia="Calibri" w:hAnsi="Arial" w:cs="Calibri"/>
                  <w:color w:val="0000FF"/>
                  <w:sz w:val="14"/>
                  <w:szCs w:val="14"/>
                  <w:u w:val="single"/>
                  <w:lang w:eastAsia="en-IN"/>
                </w:rPr>
                <w:t>com</w:t>
              </w:r>
            </w:hyperlink>
          </w:p>
        </w:tc>
      </w:tr>
    </w:tbl>
    <w:p w14:paraId="377F9CC4" w14:textId="77777777" w:rsidR="00F858F5" w:rsidRDefault="00F858F5" w:rsidP="00F858F5"/>
    <w:p w14:paraId="5FDC6139" w14:textId="07DEC460" w:rsidR="00F858F5" w:rsidRDefault="00F858F5">
      <w:pPr>
        <w:spacing w:after="0" w:line="240" w:lineRule="auto"/>
        <w:rPr>
          <w:i/>
          <w:szCs w:val="18"/>
        </w:rPr>
      </w:pPr>
    </w:p>
    <w:p w14:paraId="34E40119" w14:textId="673F70FF" w:rsidR="009701AB" w:rsidRDefault="009701AB" w:rsidP="00A04EE6">
      <w:pPr>
        <w:jc w:val="center"/>
      </w:pPr>
    </w:p>
    <w:sectPr w:rsidR="009701AB">
      <w:headerReference w:type="even" r:id="rId16"/>
      <w:headerReference w:type="default" r:id="rId17"/>
      <w:footerReference w:type="even" r:id="rId18"/>
      <w:footerReference w:type="default" r:id="rId19"/>
      <w:headerReference w:type="first" r:id="rId20"/>
      <w:footerReference w:type="first" r:id="rId21"/>
      <w:pgSz w:w="11906" w:h="16838"/>
      <w:pgMar w:top="170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88AD" w14:textId="77777777" w:rsidR="004450C4" w:rsidRDefault="004450C4">
      <w:pPr>
        <w:spacing w:line="240" w:lineRule="auto"/>
      </w:pPr>
      <w:r>
        <w:separator/>
      </w:r>
    </w:p>
  </w:endnote>
  <w:endnote w:type="continuationSeparator" w:id="0">
    <w:p w14:paraId="774BD1F0" w14:textId="77777777" w:rsidR="004450C4" w:rsidRDefault="00445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E590" w14:textId="77777777" w:rsidR="005125B1" w:rsidRDefault="0051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5A67" w14:textId="77777777" w:rsidR="005125B1" w:rsidRDefault="00512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823A" w14:textId="77777777" w:rsidR="005125B1" w:rsidRDefault="0051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D43B" w14:textId="77777777" w:rsidR="004450C4" w:rsidRDefault="004450C4">
      <w:pPr>
        <w:spacing w:after="0"/>
      </w:pPr>
      <w:r>
        <w:separator/>
      </w:r>
    </w:p>
  </w:footnote>
  <w:footnote w:type="continuationSeparator" w:id="0">
    <w:p w14:paraId="74111749" w14:textId="77777777" w:rsidR="004450C4" w:rsidRDefault="004450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5E72" w14:textId="55DED7B3" w:rsidR="005125B1" w:rsidRDefault="0051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7FBC" w14:textId="6105DE6B" w:rsidR="009701AB" w:rsidRDefault="002906FF">
    <w:pPr>
      <w:pStyle w:val="Header"/>
    </w:pPr>
    <w:r>
      <w:rPr>
        <w:noProof/>
        <w:sz w:val="44"/>
        <w:lang w:val="en-US"/>
      </w:rPr>
      <w:drawing>
        <wp:anchor distT="0" distB="0" distL="114300" distR="114300" simplePos="0" relativeHeight="251659264" behindDoc="1" locked="0" layoutInCell="1" allowOverlap="1" wp14:anchorId="149237CC" wp14:editId="48734023">
          <wp:simplePos x="0" y="0"/>
          <wp:positionH relativeFrom="page">
            <wp:posOffset>5776595</wp:posOffset>
          </wp:positionH>
          <wp:positionV relativeFrom="page">
            <wp:posOffset>273685</wp:posOffset>
          </wp:positionV>
          <wp:extent cx="1170940" cy="448310"/>
          <wp:effectExtent l="0" t="0" r="2540" b="8890"/>
          <wp:wrapNone/>
          <wp:docPr id="1448989656" name="Picture 1448989656" descr="A picture containing text, sign,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989656" name="Picture 1448989656" descr="A picture containing text, sign,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70741" cy="448432"/>
                  </a:xfrm>
                  <a:prstGeom prst="rect">
                    <a:avLst/>
                  </a:prstGeom>
                </pic:spPr>
              </pic:pic>
            </a:graphicData>
          </a:graphic>
        </wp:anchor>
      </w:drawing>
    </w:r>
    <w:r>
      <w:rPr>
        <w:noProof/>
        <w:lang w:eastAsia="en-IN"/>
      </w:rPr>
      <mc:AlternateContent>
        <mc:Choice Requires="wpg">
          <w:drawing>
            <wp:anchor distT="0" distB="0" distL="114300" distR="114300" simplePos="0" relativeHeight="251661312" behindDoc="0" locked="1" layoutInCell="1" allowOverlap="1" wp14:anchorId="08704CF2" wp14:editId="5744854D">
              <wp:simplePos x="0" y="0"/>
              <wp:positionH relativeFrom="margin">
                <wp:posOffset>-610235</wp:posOffset>
              </wp:positionH>
              <wp:positionV relativeFrom="margin">
                <wp:posOffset>-125095</wp:posOffset>
              </wp:positionV>
              <wp:extent cx="7054215" cy="114300"/>
              <wp:effectExtent l="0" t="4445" r="1905" b="18415"/>
              <wp:wrapNone/>
              <wp:docPr id="19" name="Group 19"/>
              <wp:cNvGraphicFramePr/>
              <a:graphic xmlns:a="http://schemas.openxmlformats.org/drawingml/2006/main">
                <a:graphicData uri="http://schemas.microsoft.com/office/word/2010/wordprocessingGroup">
                  <wpg:wgp>
                    <wpg:cNvGrpSpPr/>
                    <wpg:grpSpPr>
                      <a:xfrm>
                        <a:off x="0" y="0"/>
                        <a:ext cx="7054215" cy="114300"/>
                        <a:chOff x="382" y="2055"/>
                        <a:chExt cx="11109" cy="180"/>
                      </a:xfrm>
                      <a:effectLst/>
                    </wpg:grpSpPr>
                    <wps:wsp>
                      <wps:cNvPr id="20" name="Line 13"/>
                      <wps:cNvCnPr/>
                      <wps:spPr bwMode="auto">
                        <a:xfrm>
                          <a:off x="1231" y="2055"/>
                          <a:ext cx="180" cy="180"/>
                        </a:xfrm>
                        <a:prstGeom prst="line">
                          <a:avLst/>
                        </a:prstGeom>
                        <a:noFill/>
                        <a:ln w="9525">
                          <a:solidFill>
                            <a:srgbClr val="D0103A"/>
                          </a:solidFill>
                          <a:round/>
                        </a:ln>
                        <a:effectLst/>
                      </wps:spPr>
                      <wps:bodyPr/>
                    </wps:wsp>
                    <wps:wsp>
                      <wps:cNvPr id="21" name="Line 14"/>
                      <wps:cNvCnPr/>
                      <wps:spPr bwMode="auto">
                        <a:xfrm flipV="1">
                          <a:off x="1411" y="2055"/>
                          <a:ext cx="180" cy="180"/>
                        </a:xfrm>
                        <a:prstGeom prst="line">
                          <a:avLst/>
                        </a:prstGeom>
                        <a:noFill/>
                        <a:ln w="9525">
                          <a:solidFill>
                            <a:srgbClr val="D0103A"/>
                          </a:solidFill>
                          <a:round/>
                        </a:ln>
                        <a:effectLst/>
                      </wps:spPr>
                      <wps:bodyPr/>
                    </wps:wsp>
                    <wps:wsp>
                      <wps:cNvPr id="22" name="Line 15"/>
                      <wps:cNvCnPr/>
                      <wps:spPr bwMode="auto">
                        <a:xfrm>
                          <a:off x="1591" y="2055"/>
                          <a:ext cx="9900" cy="0"/>
                        </a:xfrm>
                        <a:prstGeom prst="line">
                          <a:avLst/>
                        </a:prstGeom>
                        <a:noFill/>
                        <a:ln w="9525">
                          <a:solidFill>
                            <a:srgbClr val="D0103A"/>
                          </a:solidFill>
                          <a:round/>
                        </a:ln>
                        <a:effectLst/>
                      </wps:spPr>
                      <wps:bodyPr/>
                    </wps:wsp>
                    <wps:wsp>
                      <wps:cNvPr id="23" name="Line 16"/>
                      <wps:cNvCnPr/>
                      <wps:spPr bwMode="auto">
                        <a:xfrm flipH="1">
                          <a:off x="382" y="2055"/>
                          <a:ext cx="849" cy="0"/>
                        </a:xfrm>
                        <a:prstGeom prst="line">
                          <a:avLst/>
                        </a:prstGeom>
                        <a:noFill/>
                        <a:ln w="9525">
                          <a:solidFill>
                            <a:srgbClr val="D0103A"/>
                          </a:solidFill>
                          <a:round/>
                        </a:ln>
                        <a:effectLst/>
                      </wps:spPr>
                      <wps:bodyPr/>
                    </wps:wsp>
                  </wpg:wgp>
                </a:graphicData>
              </a:graphic>
            </wp:anchor>
          </w:drawing>
        </mc:Choice>
        <mc:Fallback>
          <w:pict>
            <v:group w14:anchorId="18DEC7C1" id="Group 19" o:spid="_x0000_s1026" style="position:absolute;margin-left:-48.05pt;margin-top:-9.85pt;width:555.45pt;height:9pt;z-index:251661312;mso-position-horizontal-relative:margin;mso-position-vertical-relative:margin" coordorigin="382,2055" coordsize="1110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">
              <v:line id="Line 13" o:spid="_x0000_s1027" style="position:absolute;visibility:visible;mso-wrap-style:square" from="1231,2055" to="141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" strokecolor="#d0103a"/>
              <v:line id="Line 14" o:spid="_x0000_s1028" style="position:absolute;flip:y;visibility:visible;mso-wrap-style:square" from="1411,2055" to="159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" strokecolor="#d0103a"/>
              <v:line id="Line 15" o:spid="_x0000_s1029" style="position:absolute;visibility:visible;mso-wrap-style:square" from="1591,2055" to="1149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" strokecolor="#d0103a"/>
              <v:line id="Line 16" o:spid="_x0000_s1030" style="position:absolute;flip:x;visibility:visible;mso-wrap-style:square" from="382,2055" to="123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" strokecolor="#d0103a"/>
              <w10:wrap anchorx="margin" anchory="margin"/>
              <w10:anchorlock/>
            </v:group>
          </w:pict>
        </mc:Fallback>
      </mc:AlternateContent>
    </w:r>
    <w:r>
      <w:rPr>
        <w:noProof/>
        <w:lang w:eastAsia="en-IN"/>
      </w:rPr>
      <mc:AlternateContent>
        <mc:Choice Requires="wps">
          <w:drawing>
            <wp:anchor distT="0" distB="0" distL="114300" distR="114300" simplePos="0" relativeHeight="251660288" behindDoc="1" locked="1" layoutInCell="1" allowOverlap="1" wp14:anchorId="7ABACD4F" wp14:editId="6B6356F1">
              <wp:simplePos x="0" y="0"/>
              <wp:positionH relativeFrom="page">
                <wp:posOffset>272415</wp:posOffset>
              </wp:positionH>
              <wp:positionV relativeFrom="page">
                <wp:posOffset>408940</wp:posOffset>
              </wp:positionV>
              <wp:extent cx="3111500" cy="3752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75285"/>
                      </a:xfrm>
                      <a:prstGeom prst="rect">
                        <a:avLst/>
                      </a:prstGeom>
                      <a:noFill/>
                      <a:ln>
                        <a:noFill/>
                      </a:ln>
                      <a:effectLst/>
                    </wps:spPr>
                    <wps:txbx>
                      <w:txbxContent>
                        <w:p w14:paraId="5D0B5682" w14:textId="77777777" w:rsidR="009701AB" w:rsidRDefault="002906FF">
                          <w:pPr>
                            <w:pStyle w:val="DocTitle"/>
                            <w:rPr>
                              <w:sz w:val="44"/>
                              <w:szCs w:val="56"/>
                            </w:rPr>
                          </w:pPr>
                          <w:r>
                            <w:rPr>
                              <w:sz w:val="44"/>
                              <w:szCs w:val="56"/>
                            </w:rPr>
                            <w:t>News Release</w:t>
                          </w:r>
                        </w:p>
                        <w:p w14:paraId="170295EA" w14:textId="77777777" w:rsidR="009701AB" w:rsidRDefault="009701AB">
                          <w:pPr>
                            <w:pStyle w:val="DocTitle"/>
                            <w:rPr>
                              <w:sz w:val="44"/>
                              <w:szCs w:val="56"/>
                            </w:rPr>
                          </w:pPr>
                        </w:p>
                      </w:txbxContent>
                    </wps:txbx>
                    <wps:bodyPr rot="0" vert="horz" wrap="square" lIns="0" tIns="0" rIns="0" bIns="0" anchor="t" anchorCtr="0" upright="1">
                      <a:noAutofit/>
                    </wps:bodyPr>
                  </wps:wsp>
                </a:graphicData>
              </a:graphic>
            </wp:anchor>
          </w:drawing>
        </mc:Choice>
        <mc:Fallback>
          <w:pict>
            <v:shapetype w14:anchorId="7ABACD4F" id="_x0000_t202" coordsize="21600,21600" o:spt="202" path="m,l,21600r21600,l21600,xe">
              <v:stroke joinstyle="miter"/>
              <v:path gradientshapeok="t" o:connecttype="rect"/>
            </v:shapetype>
            <v:shape id="Text Box 13" o:spid="_x0000_s1026" type="#_x0000_t202" style="position:absolute;margin-left:21.45pt;margin-top:32.2pt;width:245pt;height:29.5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" filled="f" stroked="f">
              <v:textbox inset="0,0,0,0">
                <w:txbxContent>
                  <w:p w14:paraId="5D0B5682" w14:textId="77777777" w:rsidR="009701AB" w:rsidRDefault="002906FF">
                    <w:pPr>
                      <w:pStyle w:val="DocTitle"/>
                      <w:rPr>
                        <w:sz w:val="44"/>
                        <w:szCs w:val="56"/>
                      </w:rPr>
                    </w:pPr>
                    <w:r>
                      <w:rPr>
                        <w:sz w:val="44"/>
                        <w:szCs w:val="56"/>
                      </w:rPr>
                      <w:t>News Release</w:t>
                    </w:r>
                  </w:p>
                  <w:p w14:paraId="170295EA" w14:textId="77777777" w:rsidR="009701AB" w:rsidRDefault="009701AB">
                    <w:pPr>
                      <w:pStyle w:val="DocTitle"/>
                      <w:rPr>
                        <w:sz w:val="44"/>
                        <w:szCs w:val="56"/>
                      </w:rPr>
                    </w:pPr>
                  </w:p>
                </w:txbxContent>
              </v:textbox>
              <w10:wrap anchorx="page" anchory="page"/>
              <w10:anchorlock/>
            </v:shape>
          </w:pict>
        </mc:Fallback>
      </mc:AlternateContent>
    </w:r>
  </w:p>
  <w:p w14:paraId="5C70EFE4" w14:textId="77777777" w:rsidR="009701AB" w:rsidRDefault="009701AB">
    <w:pPr>
      <w:pStyle w:val="Header"/>
    </w:pPr>
  </w:p>
  <w:p w14:paraId="73AFD831" w14:textId="77777777" w:rsidR="009701AB" w:rsidRDefault="00970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319F" w14:textId="56A6BE49" w:rsidR="005125B1" w:rsidRDefault="0051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502AC"/>
    <w:multiLevelType w:val="hybridMultilevel"/>
    <w:tmpl w:val="3E9A29EA"/>
    <w:lvl w:ilvl="0" w:tplc="40090001">
      <w:start w:val="1"/>
      <w:numFmt w:val="bullet"/>
      <w:lvlText w:val=""/>
      <w:lvlJc w:val="left"/>
      <w:pPr>
        <w:ind w:left="2350" w:hanging="360"/>
      </w:pPr>
      <w:rPr>
        <w:rFonts w:ascii="Symbol" w:hAnsi="Symbol" w:hint="default"/>
      </w:rPr>
    </w:lvl>
    <w:lvl w:ilvl="1" w:tplc="40090003" w:tentative="1">
      <w:start w:val="1"/>
      <w:numFmt w:val="bullet"/>
      <w:lvlText w:val="o"/>
      <w:lvlJc w:val="left"/>
      <w:pPr>
        <w:ind w:left="3070" w:hanging="360"/>
      </w:pPr>
      <w:rPr>
        <w:rFonts w:ascii="Courier New" w:hAnsi="Courier New" w:cs="Courier New" w:hint="default"/>
      </w:rPr>
    </w:lvl>
    <w:lvl w:ilvl="2" w:tplc="40090005" w:tentative="1">
      <w:start w:val="1"/>
      <w:numFmt w:val="bullet"/>
      <w:lvlText w:val=""/>
      <w:lvlJc w:val="left"/>
      <w:pPr>
        <w:ind w:left="3790" w:hanging="360"/>
      </w:pPr>
      <w:rPr>
        <w:rFonts w:ascii="Wingdings" w:hAnsi="Wingdings" w:hint="default"/>
      </w:rPr>
    </w:lvl>
    <w:lvl w:ilvl="3" w:tplc="40090001" w:tentative="1">
      <w:start w:val="1"/>
      <w:numFmt w:val="bullet"/>
      <w:lvlText w:val=""/>
      <w:lvlJc w:val="left"/>
      <w:pPr>
        <w:ind w:left="4510" w:hanging="360"/>
      </w:pPr>
      <w:rPr>
        <w:rFonts w:ascii="Symbol" w:hAnsi="Symbol" w:hint="default"/>
      </w:rPr>
    </w:lvl>
    <w:lvl w:ilvl="4" w:tplc="40090003" w:tentative="1">
      <w:start w:val="1"/>
      <w:numFmt w:val="bullet"/>
      <w:lvlText w:val="o"/>
      <w:lvlJc w:val="left"/>
      <w:pPr>
        <w:ind w:left="5230" w:hanging="360"/>
      </w:pPr>
      <w:rPr>
        <w:rFonts w:ascii="Courier New" w:hAnsi="Courier New" w:cs="Courier New" w:hint="default"/>
      </w:rPr>
    </w:lvl>
    <w:lvl w:ilvl="5" w:tplc="40090005" w:tentative="1">
      <w:start w:val="1"/>
      <w:numFmt w:val="bullet"/>
      <w:lvlText w:val=""/>
      <w:lvlJc w:val="left"/>
      <w:pPr>
        <w:ind w:left="5950" w:hanging="360"/>
      </w:pPr>
      <w:rPr>
        <w:rFonts w:ascii="Wingdings" w:hAnsi="Wingdings" w:hint="default"/>
      </w:rPr>
    </w:lvl>
    <w:lvl w:ilvl="6" w:tplc="40090001" w:tentative="1">
      <w:start w:val="1"/>
      <w:numFmt w:val="bullet"/>
      <w:lvlText w:val=""/>
      <w:lvlJc w:val="left"/>
      <w:pPr>
        <w:ind w:left="6670" w:hanging="360"/>
      </w:pPr>
      <w:rPr>
        <w:rFonts w:ascii="Symbol" w:hAnsi="Symbol" w:hint="default"/>
      </w:rPr>
    </w:lvl>
    <w:lvl w:ilvl="7" w:tplc="40090003" w:tentative="1">
      <w:start w:val="1"/>
      <w:numFmt w:val="bullet"/>
      <w:lvlText w:val="o"/>
      <w:lvlJc w:val="left"/>
      <w:pPr>
        <w:ind w:left="7390" w:hanging="360"/>
      </w:pPr>
      <w:rPr>
        <w:rFonts w:ascii="Courier New" w:hAnsi="Courier New" w:cs="Courier New" w:hint="default"/>
      </w:rPr>
    </w:lvl>
    <w:lvl w:ilvl="8" w:tplc="40090005" w:tentative="1">
      <w:start w:val="1"/>
      <w:numFmt w:val="bullet"/>
      <w:lvlText w:val=""/>
      <w:lvlJc w:val="left"/>
      <w:pPr>
        <w:ind w:left="8110" w:hanging="360"/>
      </w:pPr>
      <w:rPr>
        <w:rFonts w:ascii="Wingdings" w:hAnsi="Wingdings" w:hint="default"/>
      </w:rPr>
    </w:lvl>
  </w:abstractNum>
  <w:num w:numId="1" w16cid:durableId="108141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C01EED"/>
    <w:rsid w:val="0001271A"/>
    <w:rsid w:val="00025748"/>
    <w:rsid w:val="00032B16"/>
    <w:rsid w:val="00063685"/>
    <w:rsid w:val="00087880"/>
    <w:rsid w:val="000935B6"/>
    <w:rsid w:val="000E1D0B"/>
    <w:rsid w:val="000E668C"/>
    <w:rsid w:val="000F6D4B"/>
    <w:rsid w:val="000F75FE"/>
    <w:rsid w:val="00127E2B"/>
    <w:rsid w:val="00130AAD"/>
    <w:rsid w:val="00154D90"/>
    <w:rsid w:val="00185F53"/>
    <w:rsid w:val="0018664D"/>
    <w:rsid w:val="001F71DB"/>
    <w:rsid w:val="00226488"/>
    <w:rsid w:val="002364B2"/>
    <w:rsid w:val="00237274"/>
    <w:rsid w:val="00255B8B"/>
    <w:rsid w:val="002906FF"/>
    <w:rsid w:val="00291029"/>
    <w:rsid w:val="002F0F7B"/>
    <w:rsid w:val="002F12EE"/>
    <w:rsid w:val="00302829"/>
    <w:rsid w:val="003056D4"/>
    <w:rsid w:val="00307F92"/>
    <w:rsid w:val="00324C58"/>
    <w:rsid w:val="00342DD8"/>
    <w:rsid w:val="003519E8"/>
    <w:rsid w:val="003758AB"/>
    <w:rsid w:val="003E2981"/>
    <w:rsid w:val="003E2C94"/>
    <w:rsid w:val="003E6106"/>
    <w:rsid w:val="003E79BA"/>
    <w:rsid w:val="00443450"/>
    <w:rsid w:val="00444375"/>
    <w:rsid w:val="004450C4"/>
    <w:rsid w:val="00481258"/>
    <w:rsid w:val="00491983"/>
    <w:rsid w:val="004B7299"/>
    <w:rsid w:val="004D2862"/>
    <w:rsid w:val="004E29F9"/>
    <w:rsid w:val="0050453E"/>
    <w:rsid w:val="005062AF"/>
    <w:rsid w:val="00507A1F"/>
    <w:rsid w:val="00510DF8"/>
    <w:rsid w:val="00511483"/>
    <w:rsid w:val="005125B1"/>
    <w:rsid w:val="00540D9C"/>
    <w:rsid w:val="005620F5"/>
    <w:rsid w:val="005B3F05"/>
    <w:rsid w:val="005B708C"/>
    <w:rsid w:val="005C1734"/>
    <w:rsid w:val="005C2D65"/>
    <w:rsid w:val="005E5E02"/>
    <w:rsid w:val="005F504F"/>
    <w:rsid w:val="005F7F07"/>
    <w:rsid w:val="006012FE"/>
    <w:rsid w:val="006B623A"/>
    <w:rsid w:val="006B6DBA"/>
    <w:rsid w:val="006C3A1A"/>
    <w:rsid w:val="006E55DF"/>
    <w:rsid w:val="006E6918"/>
    <w:rsid w:val="00705E6B"/>
    <w:rsid w:val="00727FC8"/>
    <w:rsid w:val="00746A76"/>
    <w:rsid w:val="007500E3"/>
    <w:rsid w:val="00767558"/>
    <w:rsid w:val="00774E40"/>
    <w:rsid w:val="007B024F"/>
    <w:rsid w:val="007C13CE"/>
    <w:rsid w:val="007F43BA"/>
    <w:rsid w:val="008016C4"/>
    <w:rsid w:val="008376A3"/>
    <w:rsid w:val="00864E74"/>
    <w:rsid w:val="00873CAC"/>
    <w:rsid w:val="008A2A4D"/>
    <w:rsid w:val="00905496"/>
    <w:rsid w:val="00914A58"/>
    <w:rsid w:val="0095633B"/>
    <w:rsid w:val="0096134A"/>
    <w:rsid w:val="009701AB"/>
    <w:rsid w:val="009D79E0"/>
    <w:rsid w:val="009E0520"/>
    <w:rsid w:val="009E4F1E"/>
    <w:rsid w:val="009F2167"/>
    <w:rsid w:val="009F3660"/>
    <w:rsid w:val="00A04EE6"/>
    <w:rsid w:val="00A21E09"/>
    <w:rsid w:val="00A34C40"/>
    <w:rsid w:val="00A47B87"/>
    <w:rsid w:val="00A57785"/>
    <w:rsid w:val="00A63514"/>
    <w:rsid w:val="00A71CDA"/>
    <w:rsid w:val="00AA5A57"/>
    <w:rsid w:val="00AB4116"/>
    <w:rsid w:val="00AB4334"/>
    <w:rsid w:val="00AF6B4F"/>
    <w:rsid w:val="00B34D55"/>
    <w:rsid w:val="00B54010"/>
    <w:rsid w:val="00B67A3D"/>
    <w:rsid w:val="00B857E4"/>
    <w:rsid w:val="00BC258A"/>
    <w:rsid w:val="00BE6E54"/>
    <w:rsid w:val="00BF6AF1"/>
    <w:rsid w:val="00C01135"/>
    <w:rsid w:val="00C32D02"/>
    <w:rsid w:val="00C41670"/>
    <w:rsid w:val="00C4764E"/>
    <w:rsid w:val="00C6139C"/>
    <w:rsid w:val="00C6180D"/>
    <w:rsid w:val="00C63C01"/>
    <w:rsid w:val="00C846E7"/>
    <w:rsid w:val="00CE5023"/>
    <w:rsid w:val="00CF7AC0"/>
    <w:rsid w:val="00D46A1D"/>
    <w:rsid w:val="00D5401A"/>
    <w:rsid w:val="00D641D7"/>
    <w:rsid w:val="00D8416F"/>
    <w:rsid w:val="00D918A8"/>
    <w:rsid w:val="00D92F6B"/>
    <w:rsid w:val="00DA648F"/>
    <w:rsid w:val="00DB377F"/>
    <w:rsid w:val="00DB42D7"/>
    <w:rsid w:val="00DB734E"/>
    <w:rsid w:val="00DC195C"/>
    <w:rsid w:val="00DC4495"/>
    <w:rsid w:val="00DE6ADE"/>
    <w:rsid w:val="00E43B30"/>
    <w:rsid w:val="00E50241"/>
    <w:rsid w:val="00E557E2"/>
    <w:rsid w:val="00E74FA5"/>
    <w:rsid w:val="00E85AEE"/>
    <w:rsid w:val="00E95B94"/>
    <w:rsid w:val="00EA088C"/>
    <w:rsid w:val="00F32959"/>
    <w:rsid w:val="00F416EF"/>
    <w:rsid w:val="00F42A49"/>
    <w:rsid w:val="00F535F4"/>
    <w:rsid w:val="00F825A4"/>
    <w:rsid w:val="00F858F5"/>
    <w:rsid w:val="00F9746B"/>
    <w:rsid w:val="00FA049B"/>
    <w:rsid w:val="00FE14C5"/>
    <w:rsid w:val="018B5BAC"/>
    <w:rsid w:val="086C17F2"/>
    <w:rsid w:val="09D64A15"/>
    <w:rsid w:val="0C34085D"/>
    <w:rsid w:val="0D3249B2"/>
    <w:rsid w:val="0DB94D48"/>
    <w:rsid w:val="0E391765"/>
    <w:rsid w:val="0E5D159B"/>
    <w:rsid w:val="0EF80318"/>
    <w:rsid w:val="13F45245"/>
    <w:rsid w:val="15AE646C"/>
    <w:rsid w:val="18BA1F56"/>
    <w:rsid w:val="18C95392"/>
    <w:rsid w:val="1A0C2EC9"/>
    <w:rsid w:val="1E2D7612"/>
    <w:rsid w:val="1F775436"/>
    <w:rsid w:val="21F00CF2"/>
    <w:rsid w:val="22EA7B20"/>
    <w:rsid w:val="23211A1A"/>
    <w:rsid w:val="2A0E6807"/>
    <w:rsid w:val="2AE46C6D"/>
    <w:rsid w:val="2B8063AD"/>
    <w:rsid w:val="2CBB4626"/>
    <w:rsid w:val="2CE6325D"/>
    <w:rsid w:val="31074940"/>
    <w:rsid w:val="3108207B"/>
    <w:rsid w:val="370F677A"/>
    <w:rsid w:val="376F49B3"/>
    <w:rsid w:val="378D47DC"/>
    <w:rsid w:val="3B550DF4"/>
    <w:rsid w:val="3EE64F5B"/>
    <w:rsid w:val="40BB2DD0"/>
    <w:rsid w:val="421D0BFF"/>
    <w:rsid w:val="423E520F"/>
    <w:rsid w:val="43F32EA9"/>
    <w:rsid w:val="47124DBA"/>
    <w:rsid w:val="477311C4"/>
    <w:rsid w:val="48756EFF"/>
    <w:rsid w:val="491353BF"/>
    <w:rsid w:val="49210587"/>
    <w:rsid w:val="49BF24E1"/>
    <w:rsid w:val="4A981EF9"/>
    <w:rsid w:val="4B2D712F"/>
    <w:rsid w:val="4C8827CD"/>
    <w:rsid w:val="4EA737A2"/>
    <w:rsid w:val="4EFA2300"/>
    <w:rsid w:val="51330D9A"/>
    <w:rsid w:val="58583495"/>
    <w:rsid w:val="58C7244E"/>
    <w:rsid w:val="5ACC6BBC"/>
    <w:rsid w:val="5F1D3030"/>
    <w:rsid w:val="65F62E07"/>
    <w:rsid w:val="671036C7"/>
    <w:rsid w:val="686C7991"/>
    <w:rsid w:val="6B794034"/>
    <w:rsid w:val="6E5E3129"/>
    <w:rsid w:val="6FC01EED"/>
    <w:rsid w:val="71A845B9"/>
    <w:rsid w:val="737F6BE8"/>
    <w:rsid w:val="7E4436FD"/>
    <w:rsid w:val="7EDA0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A2E99"/>
  <w15:docId w15:val="{F9507D30-1D33-4E0E-8C28-F89ACDA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uiPriority="99" w:unhideWhenUsed="1" w:qFormat="1"/>
    <w:lsdException w:name="footer" w:qFormat="1"/>
    <w:lsdException w:name="caption" w:semiHidden="1" w:unhideWhenUsed="1" w:qFormat="1"/>
    <w:lsdException w:name="footnote reference" w:semiHidden="1" w:uiPriority="99"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qFormat/>
    <w:pPr>
      <w:tabs>
        <w:tab w:val="center" w:pos="4513"/>
        <w:tab w:val="right" w:pos="9026"/>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uiPriority w:val="99"/>
    <w:semiHidden/>
    <w:unhideWhenUsed/>
    <w:qFormat/>
    <w:pPr>
      <w:spacing w:after="0" w:line="240" w:lineRule="auto"/>
    </w:pPr>
    <w:rPr>
      <w:sz w:val="20"/>
      <w:szCs w:val="20"/>
    </w:rPr>
  </w:style>
  <w:style w:type="paragraph" w:styleId="Header">
    <w:name w:val="header"/>
    <w:basedOn w:val="Normal"/>
    <w:uiPriority w:val="99"/>
    <w:unhideWhenUsed/>
    <w:qFormat/>
    <w:pPr>
      <w:tabs>
        <w:tab w:val="center" w:pos="4513"/>
        <w:tab w:val="right" w:pos="9026"/>
      </w:tabs>
      <w:spacing w:after="0" w:line="240" w:lineRule="auto"/>
    </w:pPr>
  </w:style>
  <w:style w:type="character" w:styleId="Hyperlink">
    <w:name w:val="Hyperlink"/>
    <w:qFormat/>
    <w:rPr>
      <w:rFonts w:ascii="Arial" w:hAnsi="Arial"/>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ocTitle">
    <w:name w:val="DocTitle"/>
    <w:basedOn w:val="Normal"/>
    <w:uiPriority w:val="10"/>
    <w:qFormat/>
    <w:pPr>
      <w:spacing w:after="0" w:line="240" w:lineRule="auto"/>
    </w:pPr>
    <w:rPr>
      <w:rFonts w:ascii="Arial" w:eastAsia="SimSun" w:hAnsi="Arial" w:cs="Times New Roman"/>
      <w:sz w:val="36"/>
      <w:szCs w:val="20"/>
      <w:lang w:val="en-GB" w:eastAsia="en-GB"/>
    </w:rPr>
  </w:style>
  <w:style w:type="paragraph" w:customStyle="1" w:styleId="Revision1">
    <w:name w:val="Revision1"/>
    <w:hidden/>
    <w:uiPriority w:val="99"/>
    <w:semiHidden/>
    <w:qFormat/>
    <w:rPr>
      <w:rFonts w:eastAsiaTheme="minorHAnsi"/>
      <w:sz w:val="22"/>
      <w:szCs w:val="22"/>
      <w:lang w:eastAsia="en-US"/>
    </w:rPr>
  </w:style>
  <w:style w:type="character" w:customStyle="1" w:styleId="CommentTextChar">
    <w:name w:val="Comment Text Char"/>
    <w:basedOn w:val="DefaultParagraphFont"/>
    <w:link w:val="CommentText"/>
    <w:qFormat/>
    <w:rPr>
      <w:rFonts w:eastAsiaTheme="minorHAnsi"/>
      <w:lang w:val="en-IN"/>
    </w:rPr>
  </w:style>
  <w:style w:type="character" w:customStyle="1" w:styleId="CommentSubjectChar">
    <w:name w:val="Comment Subject Char"/>
    <w:basedOn w:val="CommentTextChar"/>
    <w:link w:val="CommentSubject"/>
    <w:qFormat/>
    <w:rPr>
      <w:rFonts w:eastAsiaTheme="minorHAnsi"/>
      <w:b/>
      <w:bCs/>
      <w:lang w:val="en-IN"/>
    </w:rPr>
  </w:style>
  <w:style w:type="character" w:customStyle="1" w:styleId="FooterChar">
    <w:name w:val="Footer Char"/>
    <w:basedOn w:val="DefaultParagraphFont"/>
    <w:link w:val="Footer"/>
    <w:qFormat/>
    <w:rPr>
      <w:rFonts w:eastAsiaTheme="minorHAnsi"/>
      <w:sz w:val="22"/>
      <w:szCs w:val="22"/>
      <w:lang w:val="en-IN"/>
    </w:rPr>
  </w:style>
  <w:style w:type="table" w:customStyle="1" w:styleId="TableGrid1">
    <w:name w:val="Table Grid1"/>
    <w:basedOn w:val="TableNormal"/>
    <w:uiPriority w:val="3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4375"/>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8626">
      <w:bodyDiv w:val="1"/>
      <w:marLeft w:val="0"/>
      <w:marRight w:val="0"/>
      <w:marTop w:val="0"/>
      <w:marBottom w:val="0"/>
      <w:divBdr>
        <w:top w:val="none" w:sz="0" w:space="0" w:color="auto"/>
        <w:left w:val="none" w:sz="0" w:space="0" w:color="auto"/>
        <w:bottom w:val="none" w:sz="0" w:space="0" w:color="auto"/>
        <w:right w:val="none" w:sz="0" w:space="0" w:color="auto"/>
      </w:divBdr>
    </w:div>
    <w:div w:id="570046665">
      <w:bodyDiv w:val="1"/>
      <w:marLeft w:val="0"/>
      <w:marRight w:val="0"/>
      <w:marTop w:val="0"/>
      <w:marBottom w:val="0"/>
      <w:divBdr>
        <w:top w:val="none" w:sz="0" w:space="0" w:color="auto"/>
        <w:left w:val="none" w:sz="0" w:space="0" w:color="auto"/>
        <w:bottom w:val="none" w:sz="0" w:space="0" w:color="auto"/>
        <w:right w:val="none" w:sz="0" w:space="0" w:color="auto"/>
      </w:divBdr>
    </w:div>
    <w:div w:id="649552538">
      <w:bodyDiv w:val="1"/>
      <w:marLeft w:val="0"/>
      <w:marRight w:val="0"/>
      <w:marTop w:val="0"/>
      <w:marBottom w:val="0"/>
      <w:divBdr>
        <w:top w:val="none" w:sz="0" w:space="0" w:color="auto"/>
        <w:left w:val="none" w:sz="0" w:space="0" w:color="auto"/>
        <w:bottom w:val="none" w:sz="0" w:space="0" w:color="auto"/>
        <w:right w:val="none" w:sz="0" w:space="0" w:color="auto"/>
      </w:divBdr>
    </w:div>
    <w:div w:id="744032060">
      <w:bodyDiv w:val="1"/>
      <w:marLeft w:val="0"/>
      <w:marRight w:val="0"/>
      <w:marTop w:val="0"/>
      <w:marBottom w:val="0"/>
      <w:divBdr>
        <w:top w:val="none" w:sz="0" w:space="0" w:color="auto"/>
        <w:left w:val="none" w:sz="0" w:space="0" w:color="auto"/>
        <w:bottom w:val="none" w:sz="0" w:space="0" w:color="auto"/>
        <w:right w:val="none" w:sz="0" w:space="0" w:color="auto"/>
      </w:divBdr>
    </w:div>
    <w:div w:id="900092195">
      <w:bodyDiv w:val="1"/>
      <w:marLeft w:val="0"/>
      <w:marRight w:val="0"/>
      <w:marTop w:val="0"/>
      <w:marBottom w:val="0"/>
      <w:divBdr>
        <w:top w:val="none" w:sz="0" w:space="0" w:color="auto"/>
        <w:left w:val="none" w:sz="0" w:space="0" w:color="auto"/>
        <w:bottom w:val="none" w:sz="0" w:space="0" w:color="auto"/>
        <w:right w:val="none" w:sz="0" w:space="0" w:color="auto"/>
      </w:divBdr>
    </w:div>
    <w:div w:id="1023244760">
      <w:bodyDiv w:val="1"/>
      <w:marLeft w:val="0"/>
      <w:marRight w:val="0"/>
      <w:marTop w:val="0"/>
      <w:marBottom w:val="0"/>
      <w:divBdr>
        <w:top w:val="none" w:sz="0" w:space="0" w:color="auto"/>
        <w:left w:val="none" w:sz="0" w:space="0" w:color="auto"/>
        <w:bottom w:val="none" w:sz="0" w:space="0" w:color="auto"/>
        <w:right w:val="none" w:sz="0" w:space="0" w:color="auto"/>
      </w:divBdr>
    </w:div>
    <w:div w:id="1082410496">
      <w:bodyDiv w:val="1"/>
      <w:marLeft w:val="0"/>
      <w:marRight w:val="0"/>
      <w:marTop w:val="0"/>
      <w:marBottom w:val="0"/>
      <w:divBdr>
        <w:top w:val="none" w:sz="0" w:space="0" w:color="auto"/>
        <w:left w:val="none" w:sz="0" w:space="0" w:color="auto"/>
        <w:bottom w:val="none" w:sz="0" w:space="0" w:color="auto"/>
        <w:right w:val="none" w:sz="0" w:space="0" w:color="auto"/>
      </w:divBdr>
    </w:div>
    <w:div w:id="1474828473">
      <w:bodyDiv w:val="1"/>
      <w:marLeft w:val="0"/>
      <w:marRight w:val="0"/>
      <w:marTop w:val="0"/>
      <w:marBottom w:val="0"/>
      <w:divBdr>
        <w:top w:val="none" w:sz="0" w:space="0" w:color="auto"/>
        <w:left w:val="none" w:sz="0" w:space="0" w:color="auto"/>
        <w:bottom w:val="none" w:sz="0" w:space="0" w:color="auto"/>
        <w:right w:val="none" w:sz="0" w:space="0" w:color="auto"/>
      </w:divBdr>
    </w:div>
    <w:div w:id="1765297639">
      <w:bodyDiv w:val="1"/>
      <w:marLeft w:val="0"/>
      <w:marRight w:val="0"/>
      <w:marTop w:val="0"/>
      <w:marBottom w:val="0"/>
      <w:divBdr>
        <w:top w:val="none" w:sz="0" w:space="0" w:color="auto"/>
        <w:left w:val="none" w:sz="0" w:space="0" w:color="auto"/>
        <w:bottom w:val="none" w:sz="0" w:space="0" w:color="auto"/>
        <w:right w:val="none" w:sz="0" w:space="0" w:color="auto"/>
      </w:divBdr>
    </w:div>
    <w:div w:id="1861309832">
      <w:bodyDiv w:val="1"/>
      <w:marLeft w:val="0"/>
      <w:marRight w:val="0"/>
      <w:marTop w:val="0"/>
      <w:marBottom w:val="0"/>
      <w:divBdr>
        <w:top w:val="none" w:sz="0" w:space="0" w:color="auto"/>
        <w:left w:val="none" w:sz="0" w:space="0" w:color="auto"/>
        <w:bottom w:val="none" w:sz="0" w:space="0" w:color="auto"/>
        <w:right w:val="none" w:sz="0" w:space="0" w:color="auto"/>
      </w:divBdr>
    </w:div>
    <w:div w:id="1976518560">
      <w:bodyDiv w:val="1"/>
      <w:marLeft w:val="0"/>
      <w:marRight w:val="0"/>
      <w:marTop w:val="0"/>
      <w:marBottom w:val="0"/>
      <w:divBdr>
        <w:top w:val="none" w:sz="0" w:space="0" w:color="auto"/>
        <w:left w:val="none" w:sz="0" w:space="0" w:color="auto"/>
        <w:bottom w:val="none" w:sz="0" w:space="0" w:color="auto"/>
        <w:right w:val="none" w:sz="0" w:space="0" w:color="auto"/>
      </w:divBdr>
    </w:div>
    <w:div w:id="2064600369">
      <w:bodyDiv w:val="1"/>
      <w:marLeft w:val="0"/>
      <w:marRight w:val="0"/>
      <w:marTop w:val="0"/>
      <w:marBottom w:val="0"/>
      <w:divBdr>
        <w:top w:val="none" w:sz="0" w:space="0" w:color="auto"/>
        <w:left w:val="none" w:sz="0" w:space="0" w:color="auto"/>
        <w:bottom w:val="none" w:sz="0" w:space="0" w:color="auto"/>
        <w:right w:val="none" w:sz="0" w:space="0" w:color="auto"/>
      </w:divBdr>
    </w:div>
    <w:div w:id="21358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yali.dasgupta@in.knightfrank.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knightfrank.co.i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ghtfrank.com." TargetMode="External"/><Relationship Id="rId5" Type="http://schemas.openxmlformats.org/officeDocument/2006/relationships/settings" Target="settings.xml"/><Relationship Id="rId15" Type="http://schemas.openxmlformats.org/officeDocument/2006/relationships/hyperlink" Target="mailto:mansoor@whitemarquesolutions.com"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mailto:tania.banerjee@in.knightfrank.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2023\Q3%202023\Q3%202023_Catego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023\Q3%202023\Q3%202023_Categor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Q3 2023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Sheet1!$C$8</c:f>
              <c:strCache>
                <c:ptCount val="1"/>
                <c:pt idx="0">
                  <c:v>Q3 2023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87-490D-9181-82ECB788B2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87-490D-9181-82ECB788B2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87-490D-9181-82ECB788B2CA}"/>
              </c:ext>
            </c:extLst>
          </c:dPt>
          <c:dLbls>
            <c:dLbl>
              <c:idx val="1"/>
              <c:layout>
                <c:manualLayout>
                  <c:x val="-3.3310367454068242E-2"/>
                  <c:y val="-0.1574883347914843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E87-490D-9181-82ECB788B2CA}"/>
                </c:ext>
              </c:extLst>
            </c:dLbl>
            <c:dLbl>
              <c:idx val="2"/>
              <c:layout>
                <c:manualLayout>
                  <c:x val="9.92007874015748E-2"/>
                  <c:y val="3.997557596967046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E87-490D-9181-82ECB788B2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Sheet1!$D$6:$F$6</c:f>
              <c:strCache>
                <c:ptCount val="3"/>
                <c:pt idx="0">
                  <c:v>&lt;5 mn </c:v>
                </c:pt>
                <c:pt idx="1">
                  <c:v>5- 10 mn </c:v>
                </c:pt>
                <c:pt idx="2">
                  <c:v>&gt;10 mn </c:v>
                </c:pt>
              </c:strCache>
            </c:strRef>
          </c:cat>
          <c:val>
            <c:numRef>
              <c:f>Sheet1!$D$8:$F$8</c:f>
              <c:numCache>
                <c:formatCode>_ * #,##0_ ;_ * \-#,##0_ ;_ * "-"??_ ;_ @_ </c:formatCode>
                <c:ptCount val="3"/>
                <c:pt idx="0">
                  <c:v>24143</c:v>
                </c:pt>
                <c:pt idx="1">
                  <c:v>29827</c:v>
                </c:pt>
                <c:pt idx="2">
                  <c:v>28642</c:v>
                </c:pt>
              </c:numCache>
            </c:numRef>
          </c:val>
          <c:extLst>
            <c:ext xmlns:c16="http://schemas.microsoft.com/office/drawing/2014/chart" uri="{C3380CC4-5D6E-409C-BE32-E72D297353CC}">
              <c16:uniqueId val="{00000006-EE87-490D-9181-82ECB788B2C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Q3 2022</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Sheet1!$C$7</c:f>
              <c:strCache>
                <c:ptCount val="1"/>
                <c:pt idx="0">
                  <c:v>Q3 2022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A5-43F6-8A9B-E1FE4D5B7DD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A5-43F6-8A9B-E1FE4D5B7DD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A5-43F6-8A9B-E1FE4D5B7DD8}"/>
              </c:ext>
            </c:extLst>
          </c:dPt>
          <c:dLbls>
            <c:dLbl>
              <c:idx val="0"/>
              <c:layout>
                <c:manualLayout>
                  <c:x val="-0.11022025371828521"/>
                  <c:y val="0.1054203120443277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A5-43F6-8A9B-E1FE4D5B7DD8}"/>
                </c:ext>
              </c:extLst>
            </c:dLbl>
            <c:dLbl>
              <c:idx val="1"/>
              <c:layout>
                <c:manualLayout>
                  <c:x val="5.3232064741907316E-2"/>
                  <c:y val="-0.1912142752989209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A5-43F6-8A9B-E1FE4D5B7DD8}"/>
                </c:ext>
              </c:extLst>
            </c:dLbl>
            <c:dLbl>
              <c:idx val="2"/>
              <c:layout>
                <c:manualLayout>
                  <c:x val="0.10921259842519684"/>
                  <c:y val="0.117436205890930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A5-43F6-8A9B-E1FE4D5B7D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Sheet1!$D$6:$F$6</c:f>
              <c:strCache>
                <c:ptCount val="3"/>
                <c:pt idx="0">
                  <c:v>&lt;5 mn </c:v>
                </c:pt>
                <c:pt idx="1">
                  <c:v>5- 10 mn </c:v>
                </c:pt>
                <c:pt idx="2">
                  <c:v>&gt;10 mn </c:v>
                </c:pt>
              </c:strCache>
            </c:strRef>
          </c:cat>
          <c:val>
            <c:numRef>
              <c:f>Sheet1!$D$7:$F$7</c:f>
              <c:numCache>
                <c:formatCode>_ * #,##0_ ;_ * \-#,##0_ ;_ * "-"??_ ;_ @_ </c:formatCode>
                <c:ptCount val="3"/>
                <c:pt idx="0">
                  <c:v>26831</c:v>
                </c:pt>
                <c:pt idx="1">
                  <c:v>26263</c:v>
                </c:pt>
                <c:pt idx="2">
                  <c:v>20591</c:v>
                </c:pt>
              </c:numCache>
            </c:numRef>
          </c:val>
          <c:extLst>
            <c:ext xmlns:c16="http://schemas.microsoft.com/office/drawing/2014/chart" uri="{C3380CC4-5D6E-409C-BE32-E72D297353CC}">
              <c16:uniqueId val="{00000006-03A5-43F6-8A9B-E1FE4D5B7DD8}"/>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5B35034-2FE0-45D1-A22B-110EE05B22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WMS</dc:creator>
  <cp:lastModifiedBy>BDinfo1</cp:lastModifiedBy>
  <cp:revision>2</cp:revision>
  <cp:lastPrinted>2023-10-03T04:08:00Z</cp:lastPrinted>
  <dcterms:created xsi:type="dcterms:W3CDTF">2023-10-04T10:09:00Z</dcterms:created>
  <dcterms:modified xsi:type="dcterms:W3CDTF">2023-10-04T10:09:00Z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43E6B4333EF945989321B2E464E8A130_13</vt:lpwstr>
  </property>
  <property fmtid="{D5CDD505-2E9C-101B-9397-08002B2CF9AE}" pid="4" name="GrammarlyDocumentId">
    <vt:lpwstr>c5e5f449d2a1fcd962e456189ba58210cd13084511e1c6189030dc1537b3fa75</vt:lpwstr>
  </property>
</Properties>
</file>